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610</w:t>
      </w:r>
    </w:p>
    <w:p>
      <w:r>
        <w:rPr>
          <w:b/>
        </w:rPr>
        <w:t xml:space="preserve">Datum: </w:t>
      </w:r>
      <w:r>
        <w:t>1930-02-28</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Värner Ryden (Socialdemokraterna, man)</w:t>
      </w:r>
    </w:p>
    <w:p>
      <w:r>
        <w:rPr>
          <w:b w:val="0"/>
        </w:rPr>
        <w:t>Herr talman! Då andra kammaren ännu icke påbörjat behandlingen av det här ifrågavarande utskottsutlåtandet, ber jag nu att få ansluta mig till yrkandet om återremiss. Det torde icke vara någonting att invända mot en återremiss ur de synpunkter, som herr Lindley anförde, och icke heller kan det i och för sig vara något att invända mot, att det gives tillfälle att något mera överväga denna sak även ur de rent konstitutionella synpunkter, som herr Reuterskiöld anförde i fråga om avgränsningen i tid. Kammarens ledamöter erinra sig säkerligen, att vi i fjol hade en stor principöverläggning i kammaren ur rent konstitutionella synpunkter beträffande ett likartat ärende. Om ärendet återremitteras till utskottet kunde även den sidan av saken särskilt tagas under övervägande. Jag tror, att vi böra handla så, att vi kunna svara inför framtiden, och att vi därför icke för obegränsad tid böra lämna åt Kungl. Maj:t så stor rörelsefrihet, som här föreslagits.</w:t>
        <w:br/>
        <w:br/>
        <w:t>Herr talman! Jag går numera positivt över till yrkandet om återremiss.</w:t>
        <w:br/>
        <w:br/>
      </w:r>
      <w:r>
        <w:rPr>
          <w:b/>
        </w:rPr>
        <w:t>änka²</w:t>
      </w:r>
      <w:r>
        <w:rPr>
          <w:b w:val="0"/>
        </w:rPr>
        <w:t xml:space="preserve">. vaktmästaren hos statsutskottet O. V. F. Sondéns </w:t>
      </w:r>
      <w:r>
        <w:rPr>
          <w:b/>
        </w:rPr>
        <w:t>änka²</w:t>
      </w:r>
      <w:r>
        <w:rPr>
          <w:b w:val="0"/>
        </w:rPr>
        <w:t xml:space="preserve"> Elin Kristina Sondén, född Carlsson, såsom gratifikation anvisa ett belopp av 1,500 kronor.</w:t>
      </w:r>
    </w:p>
    <w:p>
      <w:pPr>
        <w:pStyle w:val="Heading2"/>
      </w:pPr>
      <w:r>
        <w:t>2. Herman Kvarnzelius (Folkpartiet, man)</w:t>
      </w:r>
    </w:p>
    <w:p>
      <w:r>
        <w:rPr>
          <w:b w:val="0"/>
        </w:rPr>
        <w:t xml:space="preserve">Detta ärende har kommit på kammarens bord genom en motion, framlagd av mig i denna kammare och av vice ordföranden i statsutskottet i andra kammaren. Det gäller här en gratifikation, ett engångsanslag, på 1,500 kronor enligt motionen, till en </w:t>
      </w:r>
      <w:r>
        <w:rPr>
          <w:b/>
        </w:rPr>
        <w:t>änka²</w:t>
      </w:r>
      <w:r>
        <w:rPr>
          <w:b w:val="0"/>
        </w:rPr>
        <w:t xml:space="preserve"> efter en vaktmästare 1 statsutskottet, som varit i utskottets tjänst i 19 år. Bankoutskottet säger nu i sin motivering, att tillräckliga skäl ha inte förebragts, varför man skulle ge mera åt denna </w:t>
      </w:r>
      <w:r>
        <w:rPr>
          <w:b/>
        </w:rPr>
        <w:t>änka²</w:t>
      </w:r>
      <w:r>
        <w:rPr>
          <w:b w:val="0"/>
        </w:rPr>
        <w:t xml:space="preserve"> än åt den i första punkten omförmälda </w:t>
      </w:r>
      <w:r>
        <w:rPr>
          <w:b/>
        </w:rPr>
        <w:t>änkan²</w:t>
      </w:r>
      <w:r>
        <w:rPr>
          <w:b w:val="0"/>
        </w:rPr>
        <w:t xml:space="preserve">, som nyss tillerkänts ett belopp av 1,000 kronor. Men enligt min uppfattning äro förhållandena i dessa båda fall något olika. Den </w:t>
      </w:r>
      <w:r>
        <w:rPr>
          <w:b/>
        </w:rPr>
        <w:t>änka²</w:t>
      </w:r>
      <w:r>
        <w:rPr>
          <w:b w:val="0"/>
        </w:rPr>
        <w:t xml:space="preserve">, som det nyss fattades beslut om, har fortfarande något av sin arbetskraft kvar, under det däremot </w:t>
      </w:r>
      <w:r>
        <w:rPr>
          <w:b/>
        </w:rPr>
        <w:t>änkan²</w:t>
      </w:r>
      <w:r>
        <w:rPr>
          <w:b w:val="0"/>
        </w:rPr>
        <w:t xml:space="preserve"> Sondén på grund av sjukdom är fullständigt oförmögen till försörjningsarbete; </w:t>
      </w:r>
      <w:r>
        <w:rPr>
          <w:b/>
        </w:rPr>
        <w:t>hon²</w:t>
      </w:r>
      <w:r>
        <w:rPr>
          <w:b w:val="0"/>
        </w:rPr>
        <w:t xml:space="preserve"> har inte någon som helst inkomst, och bouppteckningen visade brist. </w:t>
      </w:r>
      <w:r>
        <w:rPr>
          <w:b/>
        </w:rPr>
        <w:t>Hon²</w:t>
      </w:r>
      <w:r>
        <w:rPr>
          <w:b w:val="0"/>
        </w:rPr>
        <w:t xml:space="preserve"> är således i ett synnerligen bekymmersamt läge. Jag föreställer mig, att både bankoutskottet och kammarens ledamöter i övrigt skulle ta det med jämnmod, ifall ett beslut i denna kammare ginge i den riktningen, att </w:t>
      </w:r>
      <w:r>
        <w:rPr>
          <w:b/>
        </w:rPr>
        <w:t>änkan²</w:t>
      </w:r>
      <w:r>
        <w:rPr>
          <w:b w:val="0"/>
        </w:rPr>
        <w:t xml:space="preserve"> fick de 1,500 vi motionerat om. Det är ju ur statens synpunkt en fullständigt betydelselös summa, men för </w:t>
      </w:r>
      <w:r>
        <w:rPr>
          <w:b/>
        </w:rPr>
        <w:t>änkan²</w:t>
      </w:r>
      <w:r>
        <w:rPr>
          <w:b w:val="0"/>
        </w:rPr>
        <w:t xml:space="preserve"> är det klart, att det är av en viss betydelse, om </w:t>
      </w:r>
      <w:r>
        <w:rPr>
          <w:b/>
        </w:rPr>
        <w:t>hon²</w:t>
      </w:r>
      <w:r>
        <w:rPr>
          <w:b w:val="0"/>
        </w:rPr>
        <w:t xml:space="preserve"> får 500 kronor mer eller mindre. Det är ju för </w:t>
      </w:r>
      <w:r>
        <w:rPr>
          <w:b/>
        </w:rPr>
        <w:t>henne²</w:t>
      </w:r>
      <w:r>
        <w:rPr>
          <w:b w:val="0"/>
        </w:rPr>
        <w:t xml:space="preserve"> av en mycket större betydelse än vad det är ur statens synpunkt.</w:t>
        <w:br/>
        <w:br/>
        <w:t xml:space="preserve">För övrigt är det ju så, att det rått växlande praxis inom bankoutskottet och riksdagen angående beviljandet av pensioner. År 1920 beviljades åt en </w:t>
      </w:r>
      <w:r>
        <w:rPr>
          <w:b/>
        </w:rPr>
        <w:t>änka²</w:t>
      </w:r>
      <w:r>
        <w:rPr>
          <w:b w:val="0"/>
        </w:rPr>
        <w:t xml:space="preserve"> 1,500 och 1925 åt en annan </w:t>
      </w:r>
      <w:r>
        <w:rPr>
          <w:b/>
        </w:rPr>
        <w:t>änka²</w:t>
      </w:r>
      <w:r>
        <w:rPr>
          <w:b w:val="0"/>
        </w:rPr>
        <w:t xml:space="preserve"> likaledes 1,500 kronor. Det var under ungefär liknande förhållanden som i fråga om </w:t>
      </w:r>
      <w:r>
        <w:rPr>
          <w:b/>
        </w:rPr>
        <w:t>änkan²</w:t>
      </w:r>
      <w:r>
        <w:rPr>
          <w:b w:val="0"/>
        </w:rPr>
        <w:t xml:space="preserve"> Sondén. Det vill därför förefalla mig, som om praxis, som redan förut varit olika, även i detta fall, utan att några verkliga intressen trädas för nära, skulle kunna medge ett bifall till motionen i dess helhet.</w:t>
        <w:br/>
        <w:br/>
        <w:t>Jag tillåter mig därför, herr talman, med hänsyn till de ömmande omständigheter, som här föreligga, och då, som jag förut nämnt, det endast gäller ett engångsanslag, som inte har några som helst konsekvenser, hemställa, att riksdagen måtte bifalla motionen i dess helhet, till vilken jag yrkar bifall.</w:t>
      </w:r>
    </w:p>
    <w:p>
      <w:pPr>
        <w:pStyle w:val="Heading2"/>
      </w:pPr>
      <w:r>
        <w:t>3. Charles Lindley (Socialdemokraterna, man)</w:t>
      </w:r>
    </w:p>
    <w:p>
      <w:r>
        <w:rPr>
          <w:b w:val="0"/>
        </w:rPr>
        <w:t>Herr talman! Visserligen är det ju mycket framstående namn, som stå faddrar för denna framställning till riksdagen, men detta bör ju å andra sidan inte utgöra någon anledning för oss att begå orättvisor i andra liknande fall.</w:t>
        <w:br/>
        <w:br/>
        <w:t xml:space="preserve">Bankoutskottet har här tillstyrkt ett engångsanslag på 1,000 kronor till en </w:t>
      </w:r>
      <w:r>
        <w:rPr>
          <w:b/>
        </w:rPr>
        <w:t>änka²</w:t>
      </w:r>
      <w:r>
        <w:rPr>
          <w:b w:val="0"/>
        </w:rPr>
        <w:t xml:space="preserve">, vars avlidne man haft en statstjänst, som inte ens uppgått till 20 år, vartill kommer, att mannen inte haft ordinarie anställning utan extra. Beloppet kan ju sägas vara ganska litet och, som herr Kvarnzelius uttryckte det, kan det inte innebära någon större förskjutning av praxis att höja det. Herr Kvarnzelius åberopade också några andra fall, men han nämnde inte detaljerna; det var en </w:t>
      </w:r>
      <w:r>
        <w:rPr>
          <w:b/>
        </w:rPr>
        <w:t>änka²</w:t>
      </w:r>
      <w:r>
        <w:rPr>
          <w:b w:val="0"/>
        </w:rPr>
        <w:t xml:space="preserve"> 1920, tror jag han sade, och en 1925, som tilldelades ett högre belopp. Jag känner inte till de fall, som åberopas, men det måste vara något särskilt i samband med dem, antingen en mycket, mycket lång tjänstetid eller några andra omständigheter, som spelat in. I andra fall, likartade med detta, ha vi aldrig gått högre än upp till 1,000 kronor. Skulle vi då i ett tag höja beloppet med 50 procent, så kunna herrarna vara alldeles övertygade om, att en ny praxis genast blir satt. I det föregående fallet, som vi just har beslutat,</w:t>
        <w:br/>
        <w:br/>
        <w:t>ha de riksdagsmän, som framlagt motionen, velat vara blygsamma och följa vedertagen praxis, och det är alltså blygsamheten, som gör, att den de lagt sig ut för får en lägre ersättning än vad den andra skulle få. Jag tycker mycket bra om generösa människor, men generositet med statens och allmänna medel tycker jag inte är så förskräckligt mycket att yvas över. Jag tror inte det finns någon möjlighet att i detta fall kunna gå högre. Men vad som intresserar mig är att se statsutskottets representanter yrka på ett högre anslag än vedertaget är. Jag har alltid uppfattat statsutskottet som en inkarnation av sparsamhet och nedprutning. Det tycker jag är den mest intressanta delen av denna framställning, att ledamöter av detta utskott vilja bryta udden av vedertagen praxis och höja beloppet. För min enskilda del kan jag icke acceptera förslaget utan att åtminstone höja min stämma däremot. Vill riksdagen besluta att höja beloppet med 50 procent, ja, herregud, det har jag inte det ringaste emot, men herrarna kunna vara alldeles övertygade om, att bankoutskottet kommer inte ifrån detta faktum vid framtida tillfällen, utan beloppen bli då höjda med 50 procent. Punkt och slut. Vill riksdagen besluta det, så gärna för mig, men jag måste givetvis yrka bifall till utskottets förslag.</w:t>
      </w:r>
    </w:p>
    <w:p>
      <w:pPr>
        <w:pStyle w:val="Heading2"/>
      </w:pPr>
      <w:r>
        <w:t>4. Herman Kvarnzelius (Folkpartiet, man)</w:t>
      </w:r>
    </w:p>
    <w:p>
      <w:r>
        <w:rPr>
          <w:b w:val="0"/>
        </w:rPr>
        <w:t xml:space="preserve">Eftersom den siste ärade talaren ville veta, vilka fall jag syftade på, skall jag lämna upplysning därom. År 1920 beviljades 1,500 kronor åt vaktmästareänkan Uppgren och 1925 åt portvaktsänkan Jonsson. Det är således fullständigt belägg på, vad jag i detta fall meddelat. När jag nu i alla fall har ordet och då ju herr Lindley var rätt sympatiskt stämd mot mitt yrkande, fastän han å dragande kall och ämbetets vägnar ansåg sig böra gå emot det, ber jag att utöver vad jag förut yttrat få meddela, att den </w:t>
      </w:r>
      <w:r>
        <w:rPr>
          <w:b/>
        </w:rPr>
        <w:t>änka²</w:t>
      </w:r>
      <w:r>
        <w:rPr>
          <w:b w:val="0"/>
        </w:rPr>
        <w:t xml:space="preserve">, som 1 förra fallet fick 1,000 kronor, därjämte har ett årligt gratial på 500 kronor från Storkyrkoförsamlingen, under det att denna </w:t>
      </w:r>
      <w:r>
        <w:rPr>
          <w:b/>
        </w:rPr>
        <w:t>änka²</w:t>
      </w:r>
      <w:r>
        <w:rPr>
          <w:b w:val="0"/>
        </w:rPr>
        <w:t xml:space="preserve"> inte har någonting att klara sig med. Jag tycker detta visar, att det är så pass olika förhållanden och att den </w:t>
      </w:r>
      <w:r>
        <w:rPr>
          <w:b/>
        </w:rPr>
        <w:t>änka²</w:t>
      </w:r>
      <w:r>
        <w:rPr>
          <w:b w:val="0"/>
        </w:rPr>
        <w:t xml:space="preserve">, som det beslöts om i föregående punkt, är i en betydligt gynnsammare position än denna </w:t>
      </w:r>
      <w:r>
        <w:rPr>
          <w:b/>
        </w:rPr>
        <w:t>änka²</w:t>
      </w:r>
      <w:r>
        <w:rPr>
          <w:b w:val="0"/>
        </w:rPr>
        <w:t xml:space="preserve"> kan anses vara. Om jag en gång uppträder här som den något rundhäntare, så må det förlåtas mig. Så vitt jag kan erinra mig är det andra gången under min mer än 30-åriga riksdagsverksamhet, som Jag motionerat i en fråga som denna. Förra gången gällde det en gammal stenhuggare, som blivit blind i statens tjänst. Den motionen bifölls av riksdagen och mannen har uppburit sin pension sedan dess. I detta fall tycker jag, att förhållandena äro ungefär lika ömmande, och jag vidhåller mitt yrkande.</w:t>
      </w:r>
    </w:p>
    <w:p>
      <w:pPr>
        <w:pStyle w:val="Heading2"/>
      </w:pPr>
      <w:r>
        <w:t>5. Charles Lindley (Socialdemokraterna, man)</w:t>
      </w:r>
    </w:p>
    <w:p>
      <w:r>
        <w:rPr>
          <w:b w:val="0"/>
        </w:rPr>
        <w:t xml:space="preserve">Ja, det är riktigt, att det är lika ömmande omständigheter 1 båda fallen, och därför är det mycket svårt att tilldela den ena ett engångsanslag på 1,000 kronor och den andra ett på 1,500 kronor. I ena fallet har, som herr Kvarnzelius påpekar, </w:t>
      </w:r>
      <w:r>
        <w:rPr>
          <w:b/>
        </w:rPr>
        <w:t>änkan²</w:t>
      </w:r>
      <w:r>
        <w:rPr>
          <w:b w:val="0"/>
        </w:rPr>
        <w:t xml:space="preserve"> ett gratial på 4—500 kronor, men den andra </w:t>
      </w:r>
      <w:r>
        <w:rPr>
          <w:b/>
        </w:rPr>
        <w:t>änkan²</w:t>
      </w:r>
      <w:r>
        <w:rPr>
          <w:b w:val="0"/>
        </w:rPr>
        <w:t xml:space="preserve"> har en </w:t>
      </w:r>
      <w:r>
        <w:rPr>
          <w:b/>
        </w:rPr>
        <w:t>dotter²</w:t>
      </w:r>
      <w:r>
        <w:rPr>
          <w:b w:val="0"/>
        </w:rPr>
        <w:t xml:space="preserve">, som uppges ha en månadslön på 200 kronor, alltså en årsinkomst på 2,400 kronor, och det må Jag säga är väl mera gynnsamt för två personer att kunna leva av än den andra </w:t>
      </w:r>
      <w:r>
        <w:rPr>
          <w:b/>
        </w:rPr>
        <w:t>änkans²</w:t>
      </w:r>
      <w:r>
        <w:rPr>
          <w:b w:val="0"/>
        </w:rPr>
        <w:t xml:space="preserve"> lilla gratial. Jag kan icke avgöra huruvida det är någon skillnad i den ekonomiska ställningen änkorna emellan, men jag har den uppfattningen, att det skulle verka orättvist att tilldela den ena 1,000 kronor och den andra 500 kronor mera.</w:t>
        <w:br/>
        <w:br/>
        <w:t>Jag vidhåller därför mitt yrkande, att riksdagen måtte besluta i överensstämmelse med bankoutskottets utlåtande.</w:t>
        <w:br/>
        <w:br/>
        <w:t>»Enligt vad utskottet inhämtat, har Kungl. Maj:t genom beslut den 31 januari 1930 funnit den hos chefen för ecklesiastikdepartementet gjorda framställningen om pension åt Anna Sandström icke föranleda någon Kungl. Maj:ts åtgärd.</w:t>
        <w:br/>
        <w:br/>
        <w:t>Såsom utskottet tidigare i liknande fall framhållit, bör uppenbarligen varsamhet iakttagas, när det gäller att åt personer, vilka icke haft statsanställning, bereda pension såsom uttryck av erkännande för förtjänstfull verksamhet utom statens tjänst. Men hänsyn härtill och i betraktande jämväl av den ställning, Kungl. Maj:t numera intagit i frågan, har utskottet — som icke känt sig övertygat att tillräckliga skäl i detta fall föreligga för beredande av statspension — funnit sig böra avstyrka bifall till motionärernas framställning.</w:t>
        <w:br/>
        <w:br/>
        <w:t>Utskottet får sålunda hemställa, att förevarande motion I:190 icke må till någon riksdagens åtgärd föranleda.»</w:t>
      </w:r>
    </w:p>
    <w:p>
      <w:pPr>
        <w:pStyle w:val="Heading2"/>
      </w:pPr>
      <w:r>
        <w:t>6. Emanuel Bjurström (–, man)</w:t>
      </w:r>
    </w:p>
    <w:p>
      <w:r>
        <w:rPr>
          <w:b w:val="0"/>
        </w:rPr>
        <w:t xml:space="preserve">Herr talman! Då jag inom utskottet framfört en avvikande mening mot den, som utskottets majoritet slutit upp om, så har det ej skett på den grund, att jag icke är intresserad av, att statens utgifter väl avvägas, innan de utanordnas, men jag är av den åsikten, att ehuru </w:t>
      </w:r>
      <w:r>
        <w:rPr>
          <w:b/>
        </w:rPr>
        <w:t>fröken²</w:t>
      </w:r>
      <w:r>
        <w:rPr>
          <w:b w:val="0"/>
        </w:rPr>
        <w:t xml:space="preserve"> Sandström visserligen ej varit i bokstavlig mening statsanställd, så har </w:t>
      </w:r>
      <w:r>
        <w:rPr>
          <w:b/>
        </w:rPr>
        <w:t>hon²</w:t>
      </w:r>
      <w:r>
        <w:rPr>
          <w:b w:val="0"/>
        </w:rPr>
        <w:br/>
        <w:br/>
        <w:t xml:space="preserve">Ng som är värd icke endast en i ord framförd honnör utan också ett synligt bevis på, att </w:t>
      </w:r>
      <w:r>
        <w:rPr>
          <w:b/>
        </w:rPr>
        <w:t>hennes²</w:t>
      </w:r>
      <w:r>
        <w:rPr>
          <w:b w:val="0"/>
        </w:rPr>
        <w:t xml:space="preserve"> arbete uppskattas i 1 vida kretsar. </w:t>
      </w:r>
      <w:r>
        <w:rPr>
          <w:b/>
        </w:rPr>
        <w:t>Hon²</w:t>
      </w:r>
      <w:r>
        <w:rPr>
          <w:b w:val="0"/>
        </w:rPr>
        <w:t xml:space="preserve"> har i genombrottstider av framträngande bildningsoch kunskapssträvanden tagit initiativ till utbildande av goda och uppskattade lärarkrafter i det av </w:t>
      </w:r>
      <w:r>
        <w:rPr>
          <w:b/>
        </w:rPr>
        <w:t>henne²</w:t>
      </w:r>
      <w:r>
        <w:rPr>
          <w:b w:val="0"/>
        </w:rPr>
        <w:t xml:space="preserve"> inrättade seminariet, vilka under en lång följd av år en hel del av landets kommuner och dess undervisningsväsen haft god och värdefull nytta utav. Det är 'väl helt säkert också sådana synpunkter, som gjort, att de båda myndigheter, kungl. skolöverstyrelsen och statskontoret, som hördes i ärendet då frågan förra året fördes fram, avgivit tillstyrkande utlåtanden. Att seminariet nu nedlagts har berott på den indragning av statsbidraget, som nuvarande konjunkturer 1 avseende på tillgången på </w:t>
      </w:r>
      <w:r>
        <w:rPr>
          <w:b/>
        </w:rPr>
        <w:t>lärarinnor³</w:t>
      </w:r>
      <w:r>
        <w:rPr>
          <w:b w:val="0"/>
        </w:rPr>
        <w:t xml:space="preserve"> för den högre undervisningen ansetts göra nödvändig. Jag klandrar icke dessa åtgärder, men staten synes även av denna anledning ha en viss förpliktelse mot den, som måst se sitt livsverk spolierat.</w:t>
        <w:br/>
        <w:br/>
        <w:t xml:space="preserve">Utskottet har i sitt utlåtande anfört, att stor varsamhet bör iakttagas vid beviljande av pension åt den, som ej haft direkt statsanställning. Jag delar helt den tanken, om detta fall skulle medföra vissa konsekvenser, men tillåt mig säga, att det helt säkert ej förefinnes så stort urval av kandidater, jämbördiga med den, som nu frågan gäller, vilka kunna komma att bliva föremål för statens omsorg och beskydd. Det vore helt säkert en erkännansvärd handling av denna kammare att giva sin anslutning till en för </w:t>
      </w:r>
      <w:r>
        <w:rPr>
          <w:b/>
        </w:rPr>
        <w:t>fröken²</w:t>
      </w:r>
      <w:r>
        <w:rPr>
          <w:b w:val="0"/>
        </w:rPr>
        <w:t xml:space="preserve"> Sandström lycklig lösning av föreliggande spörsmål.</w:t>
        <w:br/>
        <w:br/>
        <w:t>Herr talman! Jag ber att få yrka bifall till min avgivna reservation, som innebär bifall till i ärendet väckt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