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1871</w:t>
      </w:r>
    </w:p>
    <w:p>
      <w:r>
        <w:rPr>
          <w:b/>
        </w:rPr>
        <w:t xml:space="preserve">Datum: </w:t>
      </w:r>
      <w:r>
        <w:t>1930-05-13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Björn Frithiofsson Holmgren (Lantmanna- och borgarepartiet inom andrakammaren, man)</w:t>
      </w:r>
    </w:p>
    <w:p>
      <w:r>
        <w:rPr>
          <w:b w:val="0"/>
        </w:rPr>
        <w:t xml:space="preserve">Herr talman! På senaste tiden har jag varit i tillfälle att något följa de statsanställda </w:t>
      </w:r>
      <w:r>
        <w:rPr>
          <w:b/>
        </w:rPr>
        <w:t>kvinnornas¹</w:t>
      </w:r>
      <w:r>
        <w:rPr>
          <w:b w:val="0"/>
        </w:rPr>
        <w:t xml:space="preserve"> strävanden, och i den mån jag satt mig in i dessa frågor, har jag alltmera börjat luta åt den uppfattningen, att de statsanställda </w:t>
      </w:r>
      <w:r>
        <w:rPr>
          <w:b/>
        </w:rPr>
        <w:t>kvinnorna¹</w:t>
      </w:r>
      <w:r>
        <w:rPr>
          <w:b w:val="0"/>
        </w:rPr>
        <w:t xml:space="preserve"> i mångt och mycket ha rätt i den kritik, som de riktat gentemot statsmakterna för det sätt, på vilka dessa behandlat dem. I all synnerhet har jag för min del fått intryck av orättvisa i en lönelagstiftning, som är av sådan art, att man utan vidare placerar </w:t>
      </w:r>
      <w:r>
        <w:rPr>
          <w:b/>
        </w:rPr>
        <w:t>kvinnorna¹</w:t>
      </w:r>
      <w:r>
        <w:rPr>
          <w:b w:val="0"/>
        </w:rPr>
        <w:t xml:space="preserve"> lägre än männen i avlöningshänseende, oavsett vad de presterat i arbete. Jag är ingen vän av den nuvarande lönelagstiftningen och de principer, som ligga till grund för densamma och som ha skapat denna jakobsstege, på vilken ämbetsoch tjänstemän klättra, sedan de blivit inrutade på sådant sätt, att det blir möjligt för dem att jämföra sig med andra kategorier av statstjänare. För mig står det klart, att den enda riktiga princip, som bör ligga till grund för avlöningen, naturligtvis är den, att det är arbetet som betalas oavsett vem som utför detsamma — sålunda lika lön för lika arbete. Det är ju den principen, som väl ändå i de allra flesta fall ligger till grund åtminstone för tjänstemannalönerna ute i den allmänna marknaden, och som, tillämpad i statsförvaltningen, icke skulle behöva medföra ett öres ökade utgifter för statsverket.</w:t>
        <w:br/>
        <w:br/>
        <w:t xml:space="preserve">Den motion, som här är föremål för behandling, avser att lägga till rätta en del förhållanden inom postverket, som nog tarva rättelse. Såsom kammarens ledamöter erinra sig, antogo vi år 1923 den s. k. behörighetslagen, som avsåg att </w:t>
      </w:r>
      <w:r>
        <w:rPr>
          <w:b/>
        </w:rPr>
        <w:t>kvinnan¹</w:t>
      </w:r>
      <w:r>
        <w:rPr>
          <w:b w:val="0"/>
        </w:rPr>
        <w:t xml:space="preserve"> i fråga om behörighet att inneha statstjänst skulle jämställas med mannen — med vissa undantag, som icke beröra den nu förevarande frågan. I anledning av denna behörighetslag genomfördes år 1925 en lönereglering, i samband med vilken man uppdelade den dåvarande tjänstegraden postexpeditör i två olika klasser. I den lägre skulle tjänstemännen</w:t>
        <w:br/>
        <w:br/>
        <w:t xml:space="preserve">kallas postexpeditörer och åtnjuta en mot den dåvarande </w:t>
      </w:r>
      <w:r>
        <w:rPr>
          <w:b/>
        </w:rPr>
        <w:t>kvinnliga¹</w:t>
      </w:r>
      <w:r>
        <w:rPr>
          <w:b w:val="0"/>
        </w:rPr>
        <w:t xml:space="preserve"> postexpeditörslönen svarande lön. I den högre graden skulle posttjänstemännen kallas postassistenter och åtnjuta den dåvarande manliga postexpeditörsavlöningen. I anledning av detta beslöt generalpoststyrelsen, att den kurs, som skulle föregå anställningen i den lägre graden, skulle göras enklare än den kurs, som skulle föregå anställningen som postassistent, och att de kvalifikationer, som skulle erfordras för anställning i den lägre graden, skulle vara mindre än de kvalifikationer, som skulle erfordras för anställning i den högre. År 1925 fastställdes vidare, att dåvarande manliga postexpeditörsoch förste postexpeditörstjänster skulle namnförändras till postassistenter och förste postassistenter, under det att de dåvarande </w:t>
      </w:r>
      <w:r>
        <w:rPr>
          <w:b/>
        </w:rPr>
        <w:t>kvinnliga¹</w:t>
      </w:r>
      <w:r>
        <w:rPr>
          <w:b w:val="0"/>
        </w:rPr>
        <w:t xml:space="preserve"> postexpeditörerna och förste postexpeditörerna allt fortfarande skulle benämnas på samma sätt som förut. Detta innebar emellertid icke bara en namnförändring, utan det medförde även, att dåvarande </w:t>
      </w:r>
      <w:r>
        <w:rPr>
          <w:b/>
        </w:rPr>
        <w:t>kvinnliga¹</w:t>
      </w:r>
      <w:r>
        <w:rPr>
          <w:b w:val="0"/>
        </w:rPr>
        <w:t xml:space="preserve"> postexpeditörer och förste postexpeditörer med fullständigt samma utbildning och med samma arbetsuppgifter som sina manliga kamrater skulle i löneoch tjänstehänseende skiljas från dessa och likställas med tjänstemän, av vilka postverket fordrar lägre kvalifikationer.</w:t>
        <w:br/>
        <w:br/>
        <w:t xml:space="preserve">Vid genomförande av en lag, som ju faktiskt avsåg att skänka </w:t>
      </w:r>
      <w:r>
        <w:rPr>
          <w:b/>
        </w:rPr>
        <w:t>kvinnan¹</w:t>
      </w:r>
      <w:r>
        <w:rPr>
          <w:b w:val="0"/>
        </w:rPr>
        <w:t xml:space="preserve"> samma behörighet som en med </w:t>
      </w:r>
      <w:r>
        <w:rPr>
          <w:b/>
        </w:rPr>
        <w:t>henne²</w:t>
      </w:r>
      <w:r>
        <w:rPr>
          <w:b w:val="0"/>
        </w:rPr>
        <w:t xml:space="preserve"> jämbördigt fackutbildad man, nedflyttade man de </w:t>
      </w:r>
      <w:r>
        <w:rPr>
          <w:b/>
        </w:rPr>
        <w:t>kvinnliga¹</w:t>
      </w:r>
      <w:r>
        <w:rPr>
          <w:b w:val="0"/>
        </w:rPr>
        <w:t xml:space="preserve"> tjänstemännen fyra grader under deras manliga kamrater. En </w:t>
      </w:r>
      <w:r>
        <w:rPr>
          <w:b/>
        </w:rPr>
        <w:t>kvinnlig¹</w:t>
      </w:r>
      <w:r>
        <w:rPr>
          <w:b w:val="0"/>
        </w:rPr>
        <w:t xml:space="preserve"> förste postexpeditör blev sålunda placerad tre grader nedanför den manlige tjänsteman, vilken </w:t>
      </w:r>
      <w:r>
        <w:rPr>
          <w:b/>
        </w:rPr>
        <w:t>hon²</w:t>
      </w:r>
      <w:r>
        <w:rPr>
          <w:b w:val="0"/>
        </w:rPr>
        <w:t xml:space="preserve"> dessförinnan varit överordnad. Man måste väl ändå säga, att detta är en egendomlig tolkning av en lag och ett riksdagsbeslut, som ju avsåg att åt </w:t>
      </w:r>
      <w:r>
        <w:rPr>
          <w:b/>
        </w:rPr>
        <w:t>kvinnan¹</w:t>
      </w:r>
      <w:r>
        <w:rPr>
          <w:b w:val="0"/>
        </w:rPr>
        <w:t xml:space="preserve"> ge full likställighet med mannen.</w:t>
        <w:br/>
        <w:br/>
        <w:t>Jag skall nu icke här fortsätta redogörelsen för hur denna fråga utvecklats inom postverket. Detta skulle ju kunna ha sitt intresse, och måhända kommer någon följande talare att gå in på den saken. Men jag vill i stället från denna plats via protokollet rikta en vädjan till regeringen att noggrant undersöka denna fråga icke blott ur juridisk och kameral synpunkt — jag är nämligen fullkomligt övertygad om att alla slags paragrafer och författningar bokstavligen följts, när man handlat på sätt som man gjort — utan även ur den materiella rättens synpunkt, och att därefter, helst till nästa års riksdag, komma med en proposition, som innebär att man ger full både moralisk och ekonomisk rättvisa åt denna kategori av statstjänstemän, vilkas stämma måhända varit litet för svag att kunna tränga igenom det sorl, som i regel brukar råda här i kammaren.</w:t>
      </w:r>
    </w:p>
    <w:p>
      <w:pPr>
        <w:pStyle w:val="Heading2"/>
      </w:pPr>
      <w:r>
        <w:t>2. Anders Råstock (Socialdemokraterna, man)</w:t>
      </w:r>
    </w:p>
    <w:p>
      <w:r>
        <w:rPr>
          <w:b w:val="0"/>
        </w:rPr>
        <w:t xml:space="preserve">Herr talman! Då den siste ärade talaren icke framställt något yrkande, kunde det kanske vara överflödigt att säga något. Men jag tillåter mig framhålla, att en stor del av de synpunkter, som herr Holmgren gjort sig till tolk för, även i mig ha en anhängare. Jag erinrar om vad jag yttrade vid det tillfälle då frågan om de </w:t>
      </w:r>
      <w:r>
        <w:rPr>
          <w:b/>
        </w:rPr>
        <w:t>kvinnliga¹</w:t>
      </w:r>
      <w:r>
        <w:rPr>
          <w:b w:val="0"/>
        </w:rPr>
        <w:t xml:space="preserve"> tjänstemännens placering i lönehänseende var före, nämligen att jag icke trodde, att det i längden ginge att upprätthålla denna metod, utan att det enda rätta vore att bestämma lönerna med hänsyn till arbetets art och omfattning oavsett kön. Jag tillade också något om att detta visserligen kanhända icke i längden vore det mest önskvärda ur </w:t>
      </w:r>
      <w:r>
        <w:rPr>
          <w:b/>
        </w:rPr>
        <w:t>kvinnornas¹</w:t>
      </w:r>
      <w:r>
        <w:rPr>
          <w:b w:val="0"/>
        </w:rPr>
        <w:t xml:space="preserve"> egen synpunkt, men att jag i alla fall ansåg, att denna utvecklingslinje borde följas. TI det föreliggande fallet skall jag icke ge mig in på petitesserna. Skall det göras någonting på detta område, bör det ske på den väg, som herr Holmgren har anvisat. Jag har, herr talman, endast velat motivera mitt yrkande om bifall till utskottets hemställan.</w:t>
      </w:r>
    </w:p>
    <w:p>
      <w:pPr>
        <w:pStyle w:val="Heading2"/>
      </w:pPr>
      <w:r>
        <w:t>3. Agda Östlund (Socialdemokraterna, woman)</w:t>
      </w:r>
    </w:p>
    <w:p>
      <w:r>
        <w:rPr>
          <w:b w:val="0"/>
        </w:rPr>
        <w:t xml:space="preserve">Herr talman! Endast några ord! Jag skall först be att få understryka de synpunkter, som framhållits av herr Holmgren, och skall icke upprepa vad som redan sagts i detta ärende. Då Jag i år instämt i den motion, som framburits av </w:t>
      </w:r>
      <w:r>
        <w:rPr>
          <w:b/>
        </w:rPr>
        <w:t>fröken²</w:t>
      </w:r>
      <w:r>
        <w:rPr>
          <w:b w:val="0"/>
        </w:rPr>
        <w:t xml:space="preserve"> Hesselgren i första kammaren och </w:t>
      </w:r>
      <w:r>
        <w:rPr>
          <w:b/>
        </w:rPr>
        <w:t>fröken²</w:t>
      </w:r>
      <w:r>
        <w:rPr>
          <w:b w:val="0"/>
        </w:rPr>
        <w:t xml:space="preserve"> Wellin i denna kammare, har det varit därför, att jag anser att det bör kunna letas upp en utväg att lösa förevarande spörsmål.</w:t>
        <w:br/>
        <w:br/>
        <w:t xml:space="preserve">Jag vill särskilt pointera vad herr Holmgren nyss nämnde, att de </w:t>
      </w:r>
      <w:r>
        <w:rPr>
          <w:b/>
        </w:rPr>
        <w:t>kvinnliga¹</w:t>
      </w:r>
      <w:r>
        <w:rPr>
          <w:b w:val="0"/>
        </w:rPr>
        <w:t xml:space="preserve"> postexpeditörerna icke i sin strävan att erhålla en riktig placering mötts med något påstående om att de ha orätt i sak. Riksdagen har tidigare, redan år 1928, hemställt, att Kungl. Maj:t bör taga upp frågan. Kungl. Maj:t har emellertid skickat detta ärende till 1928 års lönekommitté, och denna kommitté har i sin tur förklarat, att den icke kunde taga upp detsamma. Och nu har denna fråga förts inför riksdagen igen. Men denna rundvandring förefaller icke riktigt övertygande. Statsutskottet upprepar i år vad som redan år 1928 uttalades av utskottet, nämligen att »därest generalpoststyrelsen med hänsyn till befordringsförhållandena inom verket funne några särskilda anordningar i organisatoriskt hänseende eller i lönehänseende erforderliga, frågan härom i första hand borde prövas av Kungl. Maj:t». Nu har generalpoststyrelsen gjort en sådan framställning till Kungl. Maj:t, men den har icke lett till något annat resultat, än att Kungl. Maj:t stöder sig på riksdagens avslagsbeslut för att icke vidtaga någon åtgärd. Det borde i alla händelser vara riksdagen, som här sade sista ordet och äntligen anvisar, hur frågan bör lösas.</w:t>
        <w:br/>
        <w:br/>
        <w:t xml:space="preserve">Att det icke tycks vara alldeles omöjligt att finna en väg till rättelse, när olämpliga placeringar i lönehänseende förekommit, visar ett ärende, som riksdagen behandlat tidigare i år nämligen statsutskottets utlåtande nr 44. Där var det fråga om manliga postassistenter, som tjänstgjort som postexpeditörer och därmed kommit i en sämre löneställning, än om de varit extra ordinarie postassistenter. I nämnda utlåtande andas t. o. m. statsutskottet idel välvilja och förståelse, för att nu icke tala om Kungl. Maj :t, som i detta fall avlämnade proposition för att åstadkomma rättelse. Det var kanhända av den anledningen, som utskottet var så välvilligt, eller kanhända på grund av att det gällde manliga befattningshavare. Men här har det icke begärts någon välvilja för de </w:t>
      </w:r>
      <w:r>
        <w:rPr>
          <w:b/>
        </w:rPr>
        <w:t>kvinnliga¹</w:t>
      </w:r>
      <w:r>
        <w:rPr>
          <w:b w:val="0"/>
        </w:rPr>
        <w:t xml:space="preserve"> befattningshavarnas del, utan det har endast påyrkats, att dessa skola erhålla i lön vad de på grund av sin kompetens torde vara berättigade till. Jag har, herr talman, intet yrkande.</w:t>
      </w:r>
    </w:p>
    <w:p>
      <w:pPr>
        <w:pStyle w:val="Heading2"/>
      </w:pPr>
      <w:r>
        <w:t>4. Ernst Hage (Socialdemokraterna, man)</w:t>
      </w:r>
    </w:p>
    <w:p>
      <w:r>
        <w:rPr>
          <w:b w:val="0"/>
        </w:rPr>
        <w:t>Herr talman! Föreliggande motion åsyftar en utredning, huruvida en mera modern och socialt betonad hyreslagstiftning till skydd för hyresgästerna skall kunna åstadkommas. Motionen har, som synes, avstyrkts av utskottets majoritet, trots att man på en hel del punkter erkänner, att de synpunkter, som framförts i motionen, äro riktiga. Från utskottsutlåtandet ha emellertid sex socialdemokrater tagit avstånd och yrkat igångsättande av en förutsättningslös utredning i frågan.</w:t>
        <w:br/>
        <w:br/>
        <w:t>När man har att fatta ståndpunkt till detta spörsmål, som flera gånger tidigare varit föremål för riksdagens behandling, har man att särskilt taga upp frågan, om det är riktigt att på hyreslagstiftningens område ordna det så, att »makternas fria spel» får vara avgörande, eller om bestämmelserna rörande hyresgäster och husägare böra omformas så, att det skapas en lagstiftning, där avtalsfriheten beskäres på något sätt genom sociala bestämmelser till skydd för ena parten, hyresgästerna. Man har alltså att taga hänsyn till detta, när man behandlar denna fråga, och när man gör det, vill jag för min del peka på, att till detta principspörsmål har riksdagen och lagstiftningen redan tagit ståndpunkt därigenom, att 1907 års lag om nyttjanderätt till fast egendom är så formulerad, att man på vissa punkter infört bestämmelser av social innebörd till skydd för den ena parten. På samma sätt som man beträffande arrendelagstiftningen gjort vissa ansatser till skydd för arrendatorerna, har man också i denna nyttjanderättslag sökt utforma bestämmelserna på sådant sätt, att det skulle beredas visst skydd för den part, som man ansåg vara den svagare i detta fall, nämligen hyresgästen.</w:t>
        <w:br/>
        <w:br/>
        <w:t>Den principen fullföljdes också som man vet, under kristiden, då det sociala och hyresgästen skyddande momentet i hyreslagstiftningen omformulerades och förstärktes. Vi fingo sålunda en hyreslagstiftning, som avsåg att skydda hyresgästerna med hänsyn till hyrespriserna, och vi fingo därjämte en del andra bestämmelser, som inneburo en social betoning av lagstiftningen i övrigt. När vi senare kommo förbi kristiden och mera normala förhållanden började inträda på bostadsfrågans område, framfördes emellertid i motion i riksdagen den synpunkten, att de socialt betonade bestämmelserna i denna lagstiftning skulle bliva permanenta och bestående och icke upphävas. Denna motion, som väcktes vid 1922 års riksdag, avslogs visserligen, men detta skedde på grund därav, att den dåvarande regeringen redan vidtagit åtgärder för att utreda denna fråga, och det hade överlämnats åt socialstyrelsen att utreda densamma och framlägga förslag till en socialt betonad hyreslagstiftning. Vid detta tillfälle, vid 1922 års riksdag, framhöll också riksdagen, att den instämde i motionens syfte. Följden blev också, att 1923 års riksdag fattade ett beslut, som innebar, att man erhöll vissa socialt betonade stadganden till skydd för hyresgästerna, varvid bestämdes att, när det gällde innehavare av mindre lägenheter, dessa skulle ha rätt att betala hyran månadsvis, vilket givetvis var en fördel för hyresgästen, varjämte en viss bestämmelse fastställdes om hyresocker, en bestämmelse, som dock endast existerade en tid.</w:t>
        <w:br/>
        <w:br/>
        <w:t>En av orsakerna till den principiella inställning, som riksdagen intagit på detta område, är naturligtvis att söka uti, att hyreslagstiftningen särskilt berör hemmet. Den berör sålunda ett område, vars skyddande utgör ett viktigt samhällsintresse. Men en annan orsak är givetvis, att, särskilt 1 storstäder och större samhällen i allmänhet, förhållandena utvecklats på sådant sätt, att på</w:t>
        <w:br/>
        <w:br/>
        <w:t>grund av jobberier — uppjobbade tomtoch husvärden m. m. — den siste innehavaren av ett hus ofta tvingas eller frestas att — för fullgörande av sina ekonomiska prestanda till banker och andra långivare m. fl. — och för att kun-</w:t>
        <w:br/>
        <w:br/>
        <w:t>na ekonomisera det dyrt köpta huset — pressa hyresgästerna genom höga hyror och orimliga kontraktsbestämmelser.</w:t>
        <w:br/>
        <w:br/>
        <w:t>Detta samt en del andra förhållanden motiverar en skyddslagstiftning för hyresgästerna.</w:t>
        <w:br/>
        <w:br/>
        <w:t>Här i Stockholm företogs för en kort tid sedan en utredning, som visade, att värdet av fastigheterna i Stockholm har från 1862, då det var 125 miljoner, till 1928 stigit till nära 4 miljarder kronor, varav ungefär 2 miljarder kan anses som oförtjänt värdestegring. Det är då helt naturligt, att när husvärdena i en sådan utsträckning trissas upp genom ständiga överlåtelser och ständigt höjda köpesummor, uppstår för den siste husägaren en mycket stor frestelse att lasta över sina ökade bördor på hyresgästerna, ett förhållande som också påvisats under den långa behandling, som utskottet ägnat detta ämne.</w:t>
        <w:br/>
        <w:br/>
        <w:t>Vi ha diskuterat denna fråga under tre dagars sammanträden, och det har därvid särskilt konstaterats, att hyresvärdarna i många fall sökt att åstadkomma kontraktsbestämmelser, som måste betecknas som synnerligen orimliga. Man har vidare konstaterat, att hyrespriserna i de stora samhällena äro så höga, att ungefär 30 till 40 procent av en liten inkomsttagares inkomster slukas av hyresbetalningen. Dessa orimliga hyresförhållanden inverka givetvis på landet i dess helhet och även på jordbrukarna och deras ekonomiska ställning. En liten inkomsttagare måste under sådana förhållanden inskränka sina köp av jordbruksprodukter så mycket som möjligt, då ju hyran i första hand måste betalas. Saken berör därför den kris på jordbruksområdet, som man 1 vår tid talar så mycket om. Tillvaron av denna höga hyresindex nödvändiggör också löneökningar, som gå ut över alla medborgare — jag tänker särskilt på statstjänarnas och de kommunala befattningshavarnas löner. Och i övrigt belastas naturligtvis hela nationens produktion av de höga hyresutgifterna.</w:t>
        <w:br/>
        <w:br/>
        <w:t>Men det är särskilt en sak, som har kommit fram och särskilt väckt uppmärksamhet inom utskottet. Och det är, att på grund av de förhållanden, som jag nämnt, pressas även husägarna till att försöka på allt sätt minska sina utgifter t. ex. genom att inskränka reparationer av lägenheterna. Denna omständighet frestar även till att utnyttja gamla hälsofarliga lägenheter så länge som möjligt. Detta är något, som berör hela vår hälsovårdslagstiftning. Ty resultatet av ett sådant förhållande som det, att hälsofarliga lägenheter utnyttjas allt för länge, måste bli, att staten och det allmänna få på sig lagda betydande kostnader för sjukvård och dylikt.</w:t>
        <w:br/>
        <w:br/>
        <w:t>Det var bl. a. från sådana utgångspunkter, som 1922 års riksdag uttalade sig för en mera socialt betonad hyreslagstiftning till skydd för hyresgästerna, varigenom det allmänna skulle kunna kraftigare ingripa i här nämnda hänseenden. Då sade man i ett enhälligt utlåtande från första lagutskottet, att de föreskrifter, som funnos angående hyra, voro behäftade med vissa brister, och att en reformering av dessa föreskrifter därför enligt utskottets mening vore i hög grad önskvärd. Detta är ett enhälligt uttalande från lagutskottet och från riksdagen.</w:t>
        <w:br/>
        <w:br/>
        <w:t>Denna sak har sedermera ytterligare framförts. Frågan har nämligen varit före vid 1923, 1924 och 1925 års riksdagar, och vid alla dessa riksdagar har riksdagen anslutit sig till samma princip. År 1925 exempelvis sade riksdagen, att den delade motionärernas uppfattning om behovet av en snar och omfattande revision av gällande hyreslagstiftning och förväntade förslag om en sådan revision, en revision, som skulle gå fram efter linjer, som framförts i motionerna, och som skulle syfta till åstadkommande av en mera socialt betonad hyreslagstiftning.</w:t>
        <w:br/>
        <w:br/>
        <w:t>Nu finner man emellertid vid genomseende av detta utlåtande, att utskottet har gått in för nya linjer och avvisat de synpunkter, som riksdagen tidigare anslutit sig till. Även om man inte direkt tagit avstånd från riksdagens förut uttalade uppfattning, har man alltså nu avstyrkt föreliggande motion.</w:t>
        <w:br/>
        <w:br/>
        <w:t>För min del vill jag med anledning därav säga, att de förhållanden, som nu råda på bostadsoch hyresmarknadens område, inte äro så olika kristidens förhållanden, att de skulle kunna motivera en ny ståndpunkt från utskottets sida. Det är nämligen alltjämt på det sätt — som det meddelats i Sociala meddelanden — att det existerar en viss bostadsknapphet i en mängd städer. Vidare är det på det sättet, att rikets hyresindex håller på att gå upp alltjämt. Socialstyrelsen meddelar nämligen i sitt senaste häfte, att denna genomsnittsindex ytterligare ökats med 5 Z. Vi ha alltså kommit fram till hyrespriser, som äro ännu orimligare än de, som existerade under den tid, då vi hade kristidens mera socialt betonade hyreslagstiftning. Visserligen kan man invända, att bostadsproduktionen och bostadstillgången ökats. Men härvidlag vill jag säga, att man inte bör taga alltför stor hänsyn till det förhållandet, att det byggs mycket i vår tid, ty vad man i detta fall har att fästa sig vid är den nettoökning av bostäder, som uppstår, sedan en del gamla hus nedrivits, varigenom en del hälsofarliga och omoderna lägenheter avlägsnats. Det är nämligen på det sättet, att i de stora städerna finner man ofta, att på samma tomt, där man uppfört ett modernt hus, har man dessförinnan nedrivit ett gammalt. Nettoökningen blir därför icke så synnerligen stor. Detta är en omständighet, som särskilt bör beaktas, då man från andra sidan framhåller, att byggnadsverksamheten för närvarande är så livlig, att det måste bli andra förhållanden på detta område.</w:t>
        <w:br/>
        <w:br/>
        <w:t>Genom att det alltjämt existerar ett sådant förhållande som jag förut berört med avseende på bostadsknappheten, ha hyresvärdarna kommit i ett någorlunda gynnsamt maktläge i förhållande till hyresgästerna. Och det är icke minst</w:t>
        <w:br/>
        <w:br/>
        <w:t>på detta sätt.</w:t>
        <w:br/>
        <w:br/>
        <w:t>Men det finns även en hel del andra kontrakt, som bringats till utskottets kännedom. Ett av dem gäller t. ex. en lägenhet här i Stockholm med ganska hög hyra. Där stipuleras i kontraktet bland annat följande: »Det åligger hyresgäst att på egen bekostnad låta försäkra alla glasrutor, som tillhöra våningen. Hyresgästen åtager sig att på egen bekostnad låta reparera, måla och tapetsera våningen under hyrestiden.» Men inte nog med detta. Om han då och då förbrukar en slick vanligt bondvatten — eller stadsvatten får man väl kalla 'det — får han betala särskilt härför. Vidare finns det bestämmelser uti detta märkliga kontrakt, som gå ut på, att husägaren fordrar två personers borgen för kontraktet, och på kontraktet finns det en påskrift av två personer, som förklara, att de gå i full borgen för kontraktets fullgörande. Man må ju säga, att detta är ett synnerligen egendomligt kontrakt, och detta visar, att husägarna i ett flertal fall använda sig av sin ställning för att genomdriva orimliga kontrakt.</w:t>
        <w:br/>
        <w:br/>
        <w:t>I ett annat kontrakt, som gäller ett mycket stort byggnadsaktiebolag här i Stockholm, har hyresgästen tvingats att underskriva följande ganska rigorösa bestämmelser: »Lägenheten mottages i det skick den nu befinner sig, och bekostas genom hyresvärden inga målningseller tapetseringsarbeten. Skulle vid inflyttning i lägenheten hyresvärden anse, att målningseller tapetseringsarbeten äro behövliga, förbinder sig hyresvärden att tillsläppa tapeter, olja, zinkvitt och krita, men skola arbetskostnaderna för eventuella reparationer samt återstående behövlig materiel betalas av hyresgästen. Hyresvärden frånkänner sig allt ansvar, därest hyresgäst vid inflyttning i lägenheten finner densamma bemängd med ohyra, och äger icke hyresgästen för å möbler m. m. genom ohyra och desinfektion åstadkommen skada härför fordra skadestånd eller ersättning genom avdrag å hyra m. m.» Om det är en lägenhet, som är bemängd med sådana där trevliga saker, får hyresgästen alltså taga konsekvenserna, om hans möbler därigenom bli fördärvade.</w:t>
        <w:br/>
        <w:br/>
        <w:t>Helt generellt skulle jag vilja säga, att dylika kontrakt, där husägaren tvingar hyresgästen att godkänna sådana orimliga bestämmelser, förekomma i mycket stor utsträckning. Här finns t. ex. i ett kontrakt en bestämmelse om att hyresgäst måste underkasta sig reparation av sin lägenhet, vilket, särskilt då det gäller den minsta typens lägenheter, kan resultera i, att hela eller nästan hela lägenheten blir obeboelig under omkring 14 dagar, utan att hyresgästen har rättighet att fordra ersättning eller minskning i hyran härför.</w:t>
        <w:br/>
        <w:br/>
        <w:t xml:space="preserve">Jag vill i detta sammanhang även nämna, att det existerar olika slag av hyreskontrakt i marknaden, bland annat finnes ett kontrakt, uppgjort av en jurist, </w:t>
      </w:r>
      <w:r>
        <w:rPr>
          <w:b/>
        </w:rPr>
        <w:t>fröken²</w:t>
      </w:r>
      <w:r>
        <w:rPr>
          <w:b w:val="0"/>
        </w:rPr>
        <w:t xml:space="preserve"> Stael von Holstein, vilket kontrakt är skrivet på ett ganska förnuftigt och för hyresgästerna fördelaktigt sätt, men detta kontrakt gillas icke</w:t>
        <w:br/>
        <w:br/>
        <w:t>av hyresvärdarna. Oftast är kontraktet uppgjort av husägarna och påprackas 1 allmänhet hyresgästerna, men detta kontrakt är emellertid ganska orimligt i många avseenden. Det förevisades i utskottet, och dess innehåll diskuterades, varvid det ganska egendomliga förhållandet inträffade, att man under diskussionen i utskottet helt plötsligt i pressen får se, att husägarna och deras organisation beslutat ändra detta kontrakt, och mitt under det förhandlingarna om kontraktets utseende försiggick i utskottet, ställde man till med en revision. I det nya kontrakt, som härefter kommit till, har i en eller annan punkt från husägarnas sida vidtagits en och annan ändring till fördel för hyresgästerna, men man påstår i alla fall från hyresgästernas sida, vilket också torde vara riktigt, att det nya kontraktet i en mängd avseenden blivit sämre än det tidigare.</w:t>
        <w:br/>
        <w:br/>
        <w:t>Man har t. ex. infört en bestämmelse i den nya kontraktsformuleringen, som innebär, att även när det gäller en liten lägenhet, som uppsagts av hyresgästen, skall denne utan någon ersättning finna sig i att lägenheten under 14 dagar repareras, vilket ju kan resultera i att lägenheten i stort sett blir obeboelig under denna tid.</w:t>
        <w:br/>
        <w:br/>
        <w:t>Detta är några saker, som kunna anföras med avseende å hyreskontraktets ordalydelse, vilket i utskottet tilldragit sig mycket stor uppmärksamhet. Kontrakten diskuterades i detalj, och över huvud taget kan man säga, att utskottet i sin helhet så småningom bibringades den uppfattningen, att kontrakten i många fall voro orimliga till sin formulering. Uppfattningen i utskottet gav sig i detta avseende tillkänna på det sättet, att utskottet i motiveringen gick in för att tillstyrka, att man eventuellt skulle taga upp den tanke, som framförts av socialstyrelsen, nämligen att socialstyrelsen skulle utgiva ett slags normalkontrakt, som skulle vara rådgivande vid utformandet av hyreskontrakt. Det var alltså från utskottsmajoritetens sida ett erkännande av att motionärerna voro inne på rätt väg, men det gavs även ett annat erkännande från utskottsmajoritetens sida. Den erkände nämligen, såsom det också står på ett ställe i utlåtandet, att man funnit, att de kontrakt, som existera, i stor utsträckning alltför ensidigt taga sikte på tillvaratagandet av hyresvärdarnas intresse. Särskilt har utskottet sagt, att när det nu kunnat konstateras, att det existerar kontrakt, som frigöra husägarna från att hålla en lägenhet 1 beboeligt skick genom att vidtaga reparationer, är detta ett synnerligen orimligt förhållande. Och utskottet har från den utgångspunkten kommit in på utformningen av vår hyreslagstiftning och sagt, att det finns en hel del bestämmelser i våra nu gällande hyreslagar, vilka borde ha men icke erhållit vad man kallar tvingande karaktär. Detta gäller särskilt $$ 10 och 12 i nyttjanderättslagen av 1907, där det stadgas, att husägaren skall hålla lägenheten i gott skick. Då dessa bestämmelser icke äro tvingande, kan hyresvärden genom kontraktsbestämmelser upphäva dessa stadganden i lagen. Husägaren kan alltså "frigöra sig från skyldigheten att reparera och hålla en lägenhet i gott skick, blott han i kontraktet intager en bestämmelse härom. Utskottsmajoriteten har i detta avsende uttalat, att den finner det vara rimligt, att lagstiftningen på dessa punkter åtminstone finge tvingande verkan, så att hyresvärdarna beträffande dylika bestämmelser icke kunna frigöra sig från att följa lagens föreskrifter.</w:t>
        <w:br/>
        <w:br/>
        <w:t>Egendomligt är emellertid, att utskottet, trots att utskottsmajoriteten alltså på flera punkter erkänner detsamma som minoriteten, nämligen att en lagändring bör ske, när utskottet tager slutlig ståndpunkt till de olika frågorna och den framlagda motionen, likväl kommer till den slutsatsen, att det avstyrker motionerna och anser, att ingenting behöver göras. I detta sammanhang säger utskottet i något svävande ordalag, att frågan kanske bör upptagas i ett större sammanhang. Vi socialdemokrater ha icke kunnat finna oss tillrätta med detta</w:t>
        <w:br/>
        <w:br/>
        <w:t>ganska egendomliga ståndpunktstagande från utskottsmajoritetens sida. Vi ha ansett, att när man i alla fall inom utskottet varit överens om att det förekommer en hel del kontrakt, som i hög grad äro till nackdel för hyresgästerna, och när man även inom utskottet erkänt, att det skulle vara rimligt, att hyres-</w:t>
        <w:br/>
        <w:br/>
        <w:t>lagstiftningen i större utsträckning vore av tvingande art, så att husägarna</w:t>
        <w:br/>
        <w:br/>
        <w:t>inte kunna frigöra sig från lagens stadganden genom kontraktsbestämmelser, och när man dessutom sagt, att exempelvis socialstyrelsen skulle kunna utgiva vissa normalkontrakt, som i någon mån kunde verka direktivgivande på detta område, så borde man även finna, att rimligheten krävde, att man begärde en utredning i dessa frågor.</w:t>
        <w:br/>
        <w:br/>
        <w:t>Vi ha, som sagt, från dessa utgångspunkter kommit fram med ett yrkande om en förutsättningslös utredning på det område, som jag nu varit inne på.</w:t>
        <w:br/>
        <w:br/>
        <w:t>Om nu en utredning snart skall komma till stånd, ha vi ansett, att det borde vara rimligt att då även taga upp till behandling en del andra frågor i detta sammanhang. Vi ha alltså framhållit önskvärdheten av att frågan om den s. k. optionsrätten också togs upp till behandling. Det har varit ett krav, som ofta framförts i riksdagen, att det inom hyreslagstiftningen skulle finnas, liksom det finnes inom Jordlagstiftningens område, ett slags optionsrätt för hyresgäster, som under längre tid innehaft en lägenhet. Det är i avseende å hyresgäster, som ha många barn, särskilt konstaterat, att det är många gånger svårt för dessa att få behålla sina lägenheter, som de gärna vilja ha kvar. Man betraktar icke dessa människor såsom särskilt önskvärda hyresgäster, och följden blir många gånger, att de få stryka på foten för andra, även om de innehaft sina lägenheter under lång tid. Man har framfört den synpunkten från hyresgästföreningarna, som många gånger ha behandlat denna fråga — det finnes t. o. m. en petition avgiven i denna fråga, underskriven av 80,000 medborgare i landet — i den petitionen har det påyrkats, att det i vår hyreslagstiftning skulle införas en bestämmelse, som skulle innebära, att man i vissa fall skulle kunna medgiva optionsrätt, d. v. s. en rätt för hyresgäster att även efter utgången av kontraktstiden få sitta kvar i innehavd lägenhet. Om den saken yttrar sig även 1922 års riksdags utskott. Utskottet skrev då bl. a. att »även den av motionären omnämnda frågan om rätten för hyresgäst att under vissa förhållanden få kvarbo i av honom förhyrd lägenhet jämväl efter den avtalade hyrestidens utgång, synes utskottet böra göras till föremål för utredning. Det torde för såväl den enskilde som för samhället vara ett viktigt intresse att hemmen såvitt möjligt skyddas och onödiga flyttningar undvikas». Till den uppfattningen anslöt sig också riksdagen utan något undantag och utan att det åstadkoms någon debatt i den speciella frågan. Sedan har också den saken ytterligare understrukits 1925 av riksdagen. Riksdagen förklarade då, att man borde undersöka möjligheterna att åstadkomma en sådan optionsrätt. Sedan har det visserligen skett en utredning i denna fråga genom professor Lundstedts försorg, men den utredningen har egentligen aldrig gått till botten med frågan utan har endast stannat inför att åstadkomma en s. k. principutredning. Man har nämligen sagt, att det icke fanns någon anledning att gå in att i detalj utforma ett förslag i frågan. Därför ha vi från våra utgångspunkter ansett det vara ganska rimligt, om även denna fråga nu fick upptagas och fullföljas 1 sammanhang med åstadkommandet av en utredning av den sociala hyreslagstiftningen.</w:t>
        <w:br/>
        <w:br/>
        <w:t>Det invändes ju nu visserligen att skall man ha en sådan optionsrätt, måste den leda till, att det i vissa fall borde för optionsrättsinnehavaren åstadkommas en slags reglering av hyrans storlek. Detta är riktigt, men optionsrättens utövande blir ju endast något, som sker i undantagsfall och blir också denna hyresreglering något, som kommer att ske i rena undantagsfall. Det skulle alltså icke bli fråga om att gå tillbaka till den gamla hyrestegringslagen med</w:t>
        <w:br/>
        <w:br/>
        <w:t>allmän hyresreglering. Jag vill för övrigt för min del säga, att ett sådant förfarande att offentlig myndighet reglerar hyran, har riksdagen redan förut i år gått in för i ett speciellt fall. Ty vi gingo in för en sådan lagstiftning, när det gällde bostadsrättsföreningar. För dessa finnes det nämligen på en plats i lagen infört en sådan bestämmelse om rätt att tvångsvis, i vissa undantagsfall, reglera hyran.</w:t>
        <w:br/>
        <w:br/>
        <w:t>Det är en sak till, som vi också ansett böra undersökas. Vi ha nämligen framfört krav på, att i den sociala hyreslagstiftningen även skulle finnas en bestämmelse mot hyresocker. En sådan bestämmelse fanns ju i den gamla hyresstegringslagen under kristiden och den existerade sedan under några år framåt. I avseende å dessa hyresockerbestämmelser gjorde man gällande, att den icke kom till användning i så särskilt många fall. Men jag vill i varje fall tämligen bestämt påstå, att tillvaron av denna bestämmelse verkade i förebyggande riktning, alltså till förhindrande av hyresocker, och ur den synpunkten skulle säkerligen en sådan lagstiftning ha en viss betydelse. Principiellt tycker jag, att det icke finnes någon invändning att göra mot att införa en sådan bestämmelse i vår hyreslagstiftning, därför att vi, när det gäller penningförsträckning, ha en bestämmelse mot ocker. Man kan också gott påstå — i detta sammanhang vill jag nämna att 1928 års riksdag gick in för en skärpning av denna lagstiftning om ocker vid penningförsträckning — att det icke är mindre samhällsskadligt att exempelvis taga för hög hyra och ockra därpå, än att göra sig skyldig till ocker, när man försträcker penningar. När man nu i en mängd fall kan påvisa, att man tar orimliga hyror, alltså utöver vad som kan kallas rimligt med hänsyn till byggnadskostnader och sådant, så vore det väl motiverat, om det funnes en bestämmelse, som kunde tillåta myndigheterna att till förhindrande av dylikt inskrida i vissa fall.</w:t>
        <w:br/>
        <w:br/>
        <w:t>Detta är några av de synpunkter, som vi reservanter ha framfört 1 vår reservation. Vi utgå ifrån, att denna fråga, som jag nu talar om, borde förutsättningslöst upptagas till behandling vid en blivande utredning. Och vi ha också i det sammanhanget sagt, att det skulle vara rimligt och önskligt att sammanslå de skilda bestämmelser, som finnas i hyreslagstiftningens olika lagar, till en enda lättfattlig lag. Det förhåller sig nämligen så, att de bestämmelser, som nu förekomma rörande hyra, finnas dels i en lag av år 1923 samt dels i 1907 års lag om nyttjanderätt till fast egendom, där det finnes ett kapitel som reglerar om förhållandet mellan hyresgäster och husägare. Men i sistnämnda lag finnas vissa kapitel, som beröra arrendelagstiftningen på landsbygden. Nu kan man säkerligen med stor bestämdhet säga, att, även om det förr i världen var rimligt att ha en sådan lagstiftning, som gäller speciellt i stora samhällen, i en allmän lagstiftning om fastigheter och dylikt, så är det dock mera önskligt i vår tid att ha en speciell hyreslagstiftning för sig och ha bestämmelserna rörande hyror i en särskild lag. Och det vore också synnerligen önskvärt, om man kunde göra en sådan lag så lättfattlig, som möjligt. Ty jag vill nämna, att det i denna hyreslag, som man nu har, finnes en del hänvisningar till vissa kapitel i jordarrendelagstiftningen, och jag vill för min del säga, att när man skall följa hänvisningarna från hyreslagen till denna jordarrendelag, går man verkligen många gånger bet, när man skall försöka förstå, vad lagstiftaren verkligen har menat. Jag vill alltså säga, att denna lagstiftning, som gäller hyresförhållandena i vårt moderna samhälle, sådan denna lag nu är utformad, till hela sin läggning icke fyller de krav på modernitet och lättförståelighet, som man har rätt att ställa på en lagstiftning sådan som denna, som dock skall tillämpas dagligen av personer ofta i små förhållanden och omständigheter och som ha svårt att leta sig fram bland alla dessa bestämmelser av alla olika slag, som finnas på olika ställen i dessa lagar. Jag menar alltså, att det skulle vara rimligt, om den utredning, som skall ske, även tar upp detta</w:t>
        <w:br/>
        <w:br/>
        <w:t>kapitel om att åstadkomma en lagteknisk omarbetning av hyreslagstiftningen, och vi ha alltså velat framföra, att detta krav också borde få förutsättningslöst utredas.</w:t>
        <w:br/>
        <w:br/>
        <w:t>Det är ur dessa synpunkter, som vi gått in för vårt yrkande i den avgivna reservationen. Vi ha visserligen, när det gäller detta yrkande, från en del håll mötts av det påståendet, att om vi få till stånd några restriktiva bestämmelser, när det gäller hyreslagstiftningen, vilka inskränka husägarnas rätt att taga hur mycket som helst betalt eller tillämpa hur långt gående och hur ofördelaktiga kontrakt som helst, så blir hela bostadsmarknaden irriterad. Man säger, att det kan bli så, att en del folk, som gärna sätta till kapital för bostadsbyggande, av den omständigheten att lagstiftningen griper in och åstadkommer restriktioner på området, bli irriterade och upphöra att satsa kapital för byggnadsverksamheten, något som skulle föranleda att denna byggnadsverksamhet kunde avstanna och leda till bostadsbrist, som till slut icke skulle bli till fördel för hyresgästerna. Det är på detta sätt, man resonerar från den sidan, där man sätter sig emot vårt förslag. Jag vill emellertid härmed säga, att det icke här är fråga om några revolutionerande saker. För det första gäller det att få till stånd en förutsättningslös utredning om möjligheterna att kunna göra något på detta område, och om hur man skall gå till väga på ena eller andra sättet. För det andra är det icke fråga om alls att gå tillbaka till kristidsförhållandena och den mycket restriktiva lagstiftning, som då fanns, utan det är endast fråga om att åstadkomma ett slags mindre retuscheringar i den nu existerande lagstiftningen. Jag är av den bestämda uppfattningen, att sådana små retuscheringar icke kunna åstadkomma, att det kapital, som nu satsas för byggandet av fastigheter, skulle dra sig tillbaka från denna mycket lovvärda verksamhet, om det åstadkommes en lagstiftning av den art, som vi föreslå. Jag tror alltså, att denna motivering för avslag icke är så bärande, att man av detta har anledning att gå ifrån det yrkande, som vi framfört.</w:t>
        <w:br/>
        <w:br/>
        <w:t>Med hänsyn till allt detta skall jag, herr talman, tillåta mig att yrka bifall till det utredningsyrkande, som här framförts av några reservanter, och som går ut på att riksdagen måtte i skrivelse till Kungl. Maj:t hemställa, att Kungl. Maj:t måtte låta utreda huruvida, i vilken utsträckning och på vilket sätt gällande lagbestämmelser, som reglera förhållandet mellan hyresvärd och hyresgäst, böra och kunna omformas under hänsynstagande till nutida förhållande samt i en social och humanitär anda efter ungefärligen de grundsatser, som vi antytt i vår motion. Jag ber alltså att få yrka bifall till denna reservation.</w:t>
        <w:br/>
        <w:br/>
        <w:t>I detta anförande, under vilket herr förste vice talmannen övertagit ledningen av kammarens förhandlingar, instämde herrar Höglund i Göteborg och Höglund i Stockholm.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1871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