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1885</w:t>
      </w:r>
    </w:p>
    <w:p>
      <w:r>
        <w:rPr>
          <w:b/>
        </w:rPr>
        <w:t xml:space="preserve">Datum: </w:t>
      </w:r>
      <w:r>
        <w:t>1931-03-06</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Axel Lindqvist (Socialdemokraterna, man)</w:t>
      </w:r>
    </w:p>
    <w:p>
      <w:r>
        <w:rPr>
          <w:b w:val="0"/>
        </w:rPr>
        <w:t>Herr förste vice talman! Jag kan för min del i allt väsentligt instämma i herr Björkmans anförande. Möjligen hade jag kunnat instämma i allt, men då jag inte hörde honom i vissa saker, kan jag icke instämma oreserverat. |</w:t>
        <w:br/>
        <w:br/>
        <w:t>Jag begärde ordet med anledning av herr Hedlunds i Östersund anförande. Han hade som vanligt ett mycket skickligt lagt anförande, men innehållet i detsamma var sådant, att jag för min del måste säga, om jag nu har rätt eller ej, att herr Hedlund har fel. Jag har sagt det till herr Hedlund privat, när vi talade om denna sak. Som detta ärende nu ligger till, skulle det säkert vara mycket oklokt, om andra kammaren skulle taga reservationen, trots att det inte kan bli något beslut.</w:t>
        <w:br/>
        <w:br/>
        <w:t xml:space="preserve">Herr Hedlund slog på känslosträngarna, och utan att han ville det, blev hans anförande så att han vädjade till känslorna, och man har svårt att stå emot, särskilt när herr Hedlund talade om död mans vilja. Han ville, att död mans vilja skulle bli gällande. För min personliga del håller jag mycket strängt på, att en mans eller </w:t>
      </w:r>
      <w:r>
        <w:rPr>
          <w:b/>
        </w:rPr>
        <w:t>kvinnas¹</w:t>
      </w:r>
      <w:r>
        <w:rPr>
          <w:b w:val="0"/>
        </w:rPr>
        <w:t xml:space="preserve"> sista vilja, uttryckt i ett testamente, skall efterlevas. Jag ger inte alls efter härpå, så 1 detta avseende ha vi samma uppfattning. herr Hedlund och jag. Vidare säger herr Hedlund, att vad han vill är att få ett starkare rättsskydd för död mans vilja. Det är det jag vill, säger herr Hedlund. Men, herr Hedlund, inte skola vi väl skapa detta genom att ändra arvsfondslagen? Ty är det så, att detta inte är tillräckligt tillgodosett i testamentslagen, då skall den ändras och inte arvsfondslagen. Jag är alldeles övertygad om att herr Hedlund, om det verkligen skulle gälla, inte vill, att riksdagen skall sätta sig till domare och tolka testamenten. Det måste våra domstolar göra. Riksdagen är inte skickad att göra detta. Det är ju det, som herr Hedlund vill komma till. Ja, inte tror jag han vill det, men den linje han är inne på skulle leda dit hän, att det skulle vara riksdagen, som skulle taga ställning till om ett muntligt testamente skulle vara giltigt eller ogiltigt. Det kan inte vara riktigt att så göra. Men, som jag sade, när jag började, som denna fråga nu ligger till, gör andra kammaren klokast, om den fattar samma beslut, som första kammaren har gjort, och jag slutar med att göra samma yrkande, som första lagutskottets vice ordförande herr Björkman gjort, d. v. s. bifall till utskottets hemställan.</w:t>
      </w:r>
    </w:p>
    <w:p>
      <w:pPr>
        <w:pStyle w:val="Heading2"/>
      </w:pPr>
      <w:r>
        <w:t>2. Gustaf Adolf Björkman (Första kammarens nationella parti, man)</w:t>
      </w:r>
    </w:p>
    <w:p>
      <w:r>
        <w:rPr>
          <w:b w:val="0"/>
        </w:rPr>
        <w:t>Herr talman! Herr Petersson i Lerbäcksbyn sade, att det kommit till hans kännedom, att det skulle vara flera kommuner, som stå 1 samma ställning som Älekulla och vilkas tillgodoseende stödde lagändringen.</w:t>
        <w:br/>
        <w:br/>
        <w:t>Jag har inte på något sätt velat omöjliggöra för kommunerna att framkomma i vanlig ordning och få sina förhoppningar på att få tillgodoräkna sig en arvlåtares kvarlåtenskap prövade, men väl understrukit vikten av att noga pröva</w:t>
        <w:br/>
        <w:br/>
        <w:t>härvidlag. Vad jag främst har starkt betonat är, att om andra kammaren skulle taga reservationen, som innebär, att det anses behövas en lagändring för att kommuner skulle kunna komma in bland dem, som äro berättigade att få del av danaarv, skulle andra kammaren försvåra för en regering att förorda en kommun till att få danaarv till sig. De, som helst vilja hjälpa kommunerna, tjälpa dem genom att gå med reservanterna. Det torde vara en ganska klar ogik.</w:t>
      </w:r>
    </w:p>
    <w:p>
      <w:pPr>
        <w:pStyle w:val="Heading2"/>
      </w:pPr>
      <w:r>
        <w:t>3. Samuel Hedlund (Jordbrukarnas fria grupp, man)</w:t>
      </w:r>
    </w:p>
    <w:p>
      <w:r>
        <w:rPr>
          <w:b w:val="0"/>
        </w:rPr>
        <w:t>Herr förste vice talman! Jag vill med några ord bemöta herr Lindqvist i Halmstad. Han och jag ha precis samma uppfattning, att död mans vilja skall respekteras. Jag vill emellertid, att död mans vilja skall respekteras även när den inte kan skyddas genom testamentslagen. Jag förstår inte, herr Lindqvist, varför man skall tala om testamentslagen i detta sammanhang. Har vederbörande genom testamente sagt, hur han vill, att det skall förfaras med hans kvarlåtenskap, är ju saken klar. Men, herr Lind- Gvist, låt mig med ett exempel ur levande livet belysa, vad jag menar.</w:t>
        <w:br/>
        <w:br/>
        <w:t>Uppe i Härjedalen dog för några år sedan en man, vars hela strävan gått ut på att samla en förmögenhet, som han sedan ville överlämna till den fattiga provinsen. Mannen hann göra testamente, så den saken är klar, men ponera, herr Lindqvist i Halmstad, att han inte hunnit det. Det fanns bland hans kvarlåtenskap ingenting, som skulle kunna bevisa hans yttersta vilja så, att det skulle kunna betraktas som ett testamente, men alla människor däruppe visste vad han ville och vartill han strävade. I hans anteckningsböcker t. ex. stod det, att han vid en resa till Stockholm åkt tredje klass i stället för andra för att åt Härjedalen spara skillnaden; som utgjorde så och så mycket. Det var såleledes den enklaste sak att leda i bevis, vad mannen önskade.</w:t>
        <w:br/>
        <w:br/>
        <w:t xml:space="preserve">Men inte skall man väl, herr Lindqvist i Halmstad, för att respektera en död mans vilja, ändra testamentslagen! Om en person uttalat önskan, att exempelvis hans </w:t>
      </w:r>
      <w:r>
        <w:rPr>
          <w:b/>
        </w:rPr>
        <w:t>tjänarinna³</w:t>
      </w:r>
      <w:r>
        <w:rPr>
          <w:b w:val="0"/>
        </w:rPr>
        <w:t xml:space="preserve"> skall få ärva honom, kan man pröva den saken i riksdagen och regeringen, men man kan inte pröva frågan, då det gäller den största frågan. nämligen att lämna kvarlåtenskapen till kommunen. Detta är skillnaden i herr Lindqvists i Halmstad och min ståndpunkt.</w:t>
        <w:br/>
        <w:br/>
        <w:t>Jag vill inte, herr talman, ändra testamentslagen, och jag vill inte rubba principerna för arvslagen lika litet som för arvsfonden, men jag anser, att när det är en lucka i fråga om skyddet för död mans vilja, skola vi täppa till denna lucka. Jag vidhåller, herr talman, fortfarande mitt yrkande om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1885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