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1887</w:t>
      </w:r>
    </w:p>
    <w:p>
      <w:r>
        <w:rPr>
          <w:b/>
        </w:rPr>
        <w:t xml:space="preserve">Datum: </w:t>
      </w:r>
      <w:r>
        <w:t>1931-03-21</w:t>
      </w:r>
    </w:p>
    <w:p>
      <w:r>
        <w:rPr>
          <w:b/>
        </w:rPr>
        <w:t xml:space="preserve">Kammare: </w:t>
      </w:r>
      <w:r>
        <w:t>Andra kammaren</w:t>
      </w:r>
    </w:p>
    <w:p>
      <w:r>
        <w:rPr>
          <w:b/>
        </w:rPr>
        <w:t xml:space="preserve">Antal yttranden: </w:t>
      </w:r>
      <w:r>
        <w:t>6</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Olivia Nordgren (Socialdemokraterna, woman)</w:t>
      </w:r>
    </w:p>
    <w:p>
      <w:r>
        <w:rPr>
          <w:b w:val="0"/>
        </w:rPr>
        <w:t>Herr talman! Ehuru jag mycket väl vet, att det inte finnes några som helst utsikter att gentemot ett enhälligt utskotts avslagsyrkande vinna något gehör för de synpunkter jag gjort mig till tolk för i min motion i det nu föreliggande ärendet, vågar jag dock med hänsyn till den betydelse jag anser frågan ha, taga kammarens tid i anspråk för en stund.</w:t>
        <w:br/>
        <w:br/>
        <w:t>Först ber jag då att få framföra mitt tack till andra lagutskottet för den utredning i ärendet utskottet förebragt, och av vilken utredning det tydligt framgår, att de spörsmål, som beröras i motionen, äro av den art, att de äro ägnade att påkalla uppmärksamhet. Denna min tacksamhet skulle emellertid ha varit betydligt större, om utskottet något närmare gått in på de sakskäl, som föranlett ett avstyrkande från utskottets sida och inte avfärdat frågan fullt så summariskt som här skett.</w:t>
        <w:br/>
        <w:br/>
        <w:t>I sin motivering vidgår utskottet, att den i ärendet förebragta utredningen givit vid handen, att nu gällande bestämmelser om makes underhållsskyldighet mot andre makens barn och därav härflytande ersättningsskyldighet gent emot det allmänna för vård, som lämnats sådant barn, äro ägnade att vid tillämpningen i viss omfattning medföra olägenhet. Att dessa olägenheter ingalunda äro så obetydliga, framgår också allmänt av de yttranden, som inkommit till utskottet från de ledande personer å fattigvårdens och barnavårdens område i de sex största städerna, som tillfrågats, vilka yttranden jag välvilligt satts i tillfälle att taga del av. Så gott som samtliga bekräfta, att ifrågavarande lagbestämmelser åstadkomma skada för familjelivet, verka hindrande på äktenskapen och kunna ha de ödesdigraste följder för barnen, och flertalet av yttrandena gå 1 den riktningen, att man instämmer i motionens syfte och att en utredning av de i motionen berörda spörsmålen bör komma till stånd.</w:t>
        <w:br/>
        <w:br/>
        <w:t>Jag tillåter mig citera några utdrag ur de inkomna yttrandena för att genom desamma till kammarens protokoll få fogad en något utförligare redogörelse för innehållet i desamma än vad som kommer till synes av det till utskottets utlåtande fogade yttrandet av statens fattigvårdsinspektör, kanslirådet von Koch, och jag gör detta emedan dessa yttranden utvisa, att motionen icke tillkommit utan skäl.</w:t>
        <w:br/>
        <w:br/>
        <w:t>Sålunda säger ordföranden i Norrköpings barnavårdsnämnd bl. a.: »Det torde vara en allmän erfarenhet bland dem, vilka på nära håll sett verkningarna av lagbestämmelserna om makes underhållsskyldighet mot andre makens barn i tidigare gifte eller utom äktenskapet, att dessa bestämmelser varit rätt så ödesdigra både för familjelivet och för barnen. Vad närmast $ 68 mom. 2 i lagen om samhällets barnavård beträffar så föreligga här alltid risker till förvecklingar, även om man förfar med en viss försiktighet vis å vis dessa krav. Det är även väl bekant, huru denna underhållsskyldighet verkar hindrande på äktenskapen.» Han slutar med att framhålla önskvärdheten av att denna fråga allsidigt utredes och en lagändring till det bättre därigenom åstadkommes.</w:t>
        <w:br/>
        <w:br/>
        <w:t>Fattigvårdsdirektören i Gävle anför bl. a.: »Det kan ej bestridas, att olägenheterna av nuvarande förhållanden äro rätt stora, att slitningarna i äktenska-</w:t>
        <w:br/>
        <w:br/>
        <w:t>pen vållas av bestämmelserna om makens försörjningsplikt gent emot andre makens barn, och att parterna för att undgå dessa försörjningsplikter ibland uraktlåta att legalisera sin förbindelse.»</w:t>
        <w:br/>
        <w:br/>
        <w:t>De sociala nämndernas i Stockholm ombudsman anser, att ifrågavarande bestämmelser äro av beskaffenhet att vålla förargelse utan däremot svarande samhällsnytta, varför desamma böra utmönstras ur lagen. Han vitsordar också riktigheten av de i motionen påpekade olägenheterna. Svåra slitningar ha uppstått i äktenskapen, framför allt i de fall, där andre maken inte haft vetskap om barnets tillvaro, förrän myndigheterna avkrävt honom ersättning för vårdkostnaderna. Likaså inträffar det ofta, att inför ett avtalat äktenskap endera eller båda kontrahenterna rådfrågat honom, huruvida krav på ersättning för omhändertaget barn komme att resas, och anhållit om utfästelse från myndigheternas sida, att så icke skall ske, såsom en förutsättning för att de skola ingå äktenskap. Då enligt ombudsmannens uppfattning en lag, som verkar till nackdel för ett vitalt samhällsintresse, i praktiken icke bör vinna tillämpning, har han i dylika fall funnit skäligt lämna dispens från lagens tillämpning och givit den begärda utfästelsen, varigenom sålunda ifrågavarande äktenskapshinder undanröjts.</w:t>
        <w:br/>
        <w:br/>
        <w:t xml:space="preserve">Barnavårdsdirektör Birger Löfving i Stockholm framhåller i sitt yttrande, att barnavårdsmän meddelat, att de icke sällan av fäder till barn utom äktenskap tillfrågas, huruvida äktenskap med barnets </w:t>
      </w:r>
      <w:r>
        <w:rPr>
          <w:b/>
        </w:rPr>
        <w:t>moder²</w:t>
      </w:r>
      <w:r>
        <w:rPr>
          <w:b w:val="0"/>
        </w:rPr>
        <w:t xml:space="preserve"> skulle medföra skyldighet för honom att försörja </w:t>
      </w:r>
      <w:r>
        <w:rPr>
          <w:b/>
        </w:rPr>
        <w:t>hennes²</w:t>
      </w:r>
      <w:r>
        <w:rPr>
          <w:b w:val="0"/>
        </w:rPr>
        <w:t xml:space="preserve"> äldre barn och att de, då de få veta, att så blir förhållandet, föredraga att leva samman med modern utan att legalisera förbindelsen. Direktör Löfving instämmer i motionens syfte och anser, att den bör föranleda utredning angående de föreslagna lagändringarnas konsekvenser 1 olika hänseenden.</w:t>
        <w:br/>
        <w:br/>
        <w:t xml:space="preserve">Göteborgs barnavårdsnämnd understryker i sitt yttrande de sorgliga följder, som framhållits i motionen, genom att myndigheterna utkräva ersättning för den vård, som utanför hemmen lämnas åt barnen, framför allt för barnens vidkommande, och anser, att de i motionen framförda kraven på tillvaratagandet av barnens bästa dragits alltför snäva och att desamma bort omfatta styvbarn i allmänhet. Nämnden yttrar härom bl. a.: »Det väsentliga är väl det, att ett barn icke utan vidare ryckes bort ifrån ett gott fosterhem, där det fått verklig föräldravård, där det vuxit sig fast och har ett hem och sättes in i ett nytt hem, där det kommer att sakna allt vad det förut haft, och där visserligen far och </w:t>
      </w:r>
      <w:r>
        <w:rPr>
          <w:b/>
        </w:rPr>
        <w:t>mor²</w:t>
      </w:r>
      <w:r>
        <w:rPr>
          <w:b w:val="0"/>
        </w:rPr>
        <w:t xml:space="preserve"> finnas, men så gott som intet av fadersoch moderskärlek.&gt; Här synes det nämnden en lagändring erfordras, ännu vidsträcktare än den som i motionen påyrkas, »ty här gäller det dock att rädda barnen från svåra lidanden, hemska slitningar, som nog kunna verka ödeläggande på deras liv». »Nämnden har själv», heter det vidare, »vid flera tillfällen talat om önskvärdheten av en reform i detta stycke och till och med diskuterat frågan om ett initiativtagande 1 den föreslagna riktningen.»</w:t>
        <w:br/>
        <w:br/>
        <w:t>Dessa uttalanden av på ifrågavarande område praktiskt erfarna personer synas mig också väl ha motiverat ett förslag från utskottets sida om en utredning av de i motionen berörda spörsmålen. TI stället förordar utskottet som en framkomlig väg ur svårigheterna, att det genom fattigvårdsoch barnavårdskonsulenternas försorg sprides upplysning i frågan och riktas uppmaningar till vederbörande myndigheter att vid lagtillämpningen i första hand tänka på barnens bästa och söka handla så, att deras intresse icke äventyras, samt att man bör avvakta resultaten härav, innan vidare åtgärder vidtagas.</w:t>
        <w:br/>
        <w:br/>
        <w:t>Naturligtvis kan något vinnas härigenom, det skall villigt erkännas, och jag är utskottet uppriktigt tacksam för dess uttalanden på denna punkt. Men trots detta måste man fråga sig: kan det vara lämpligt att ha kvar lagparagrafer, vilka måhända i stor utsträckning i praktiken icke komma att tillämpas? Och</w:t>
        <w:br/>
        <w:br/>
        <w:t>vidare: kan det vara lämpligt, att avgörandet huruvida dessa bestämmelser skola tillämpas eller icke lägges i händerna på vederbörande myndigheter? Kan detta icke leda till mera godtycklighet än rättvisa? I en kommun kan det finnas en bestämmande myndighet, som har förståelse för barnens bästa och handlar därefter, i en annan taga vederbörande i första hand hänsyn till kommunens. ekonomiska intressen. Hur blir det under sådana förhållanden med samhällsmedlemmarnas likställighet inför lagen?</w:t>
        <w:br/>
        <w:br/>
        <w:t>Redan nu ha lagparagraferna 1 viss utsträckning satts ur funktion enligt vad som framgår av de ingivna yttrandena. Jag ber att få särskilt fästa uppmärksamheten på det av mig tidigare i mitt anförande citerade yttrandet av ombudsmannen för de sociala nämnderna i Stockholm, där han säger, att »en lag, som verkar till nackdel för ett vitalt samhällsintresse, i praktiken icke bör vinna tillämpning». Och fattigvårdsdirektören i Göteborg förklarar, att det endast är ett mycket ringa antal fall, där ersättning avkräves vederbörande, beroende därpå, att fattigvårdsstyrelsens tjänstemän, som ha fullmakt att å styrelsens vägnar träffa avgöranden, vid tillämpningen av bestämmelserna om styvfaders ersättningsskyldighet iakttaga den domareregel, som säger, att »all lag bör med beskedlighet driven varda». TI fall där ersättningsanspråken mot styvfadern sannolikt skola åstadkomma stor skada för familjelivet och vålla stora slitningar 1 ett eljest lyckligt äktenskap, avstår fattigvården från att resa ersättningskrav. Barnavårdsnämndens ordförande i Gävle anför likaledes, att svårigheterna icke äro så stora, emedan vederbörande ha möjlighet att sätta sig in i de individuella fallen och anse sig, oberoende av författningarnas ordalag, kunna »laga efter lägligheten»&gt;, där så påkallas av rent mänskliga hänsyn. Jag tror dock, att ombudsmannen i Stockholms sociala nämnder har rätt i sin förmodan, då han säger: »Sannolikt är emellertid, att flertalet barnavårdsoch fattigvårdsmyndigheter anse sig bundna av lagens bestämmelser i förevarande hänseende.» Slutligen har barnavårdsdirektören i Malmö i sitt avgivna yttrande givit anvisning på ett kryphål i lagen, som han rekommenderar, och vilket jämväl förordas av statens fattigvårdsinspektör. Jag kan dock icke tänka mig, att man här i riksdagen skulle vilja understryka vad här förordas emedan jag anser att ett dylikt förfarande vore att kringgå lagarna och detta bör väl riksdagen allra minst uppmuntra till. Nämnda barnavårdsdirektör anvisar den utvägen, att överflyttande av förmynderskapet för barnet och därmed även vårdnaden från modern till barnets fosterföräldrar äger rum. Det har inträffat, säger han, att modern till barn utanför äktenskapet, vilken ingått giftermål med annan man än barnets fader, hos domstol hemställt om överflyttande av förmynderskapet, och därmed vårdnaden, å barnets fosterföräldrar för att på så sätt upphäva styvfaderns ersättningsskyldighet. Huruvida kommunen jämväl i fortsättningen iklätt sig kostnaderna för barnets vård, framgår icke av yttrandet. Om så är fallet och ett dylikt förfarande mera allmänt skulle vara möjligt för att på så vis sätta lagens bestämmelser ur funktion, synes mig detta vara ytterst betänkligt och föga att rekommendera. Lagar, som bara existera på papperet och som i praktiken kunna tillämpas efter godtycke, förefalla mig åtminstone vara direkt skadliga, då de äro ägnade att rubba aktningen för lagen. Då är det väl ändå klokare att ändra dessa lagar därhän, att de kunna tillämpas och tillämpas lika för alla. Måhända kunde detta i förevarande fall lämpligast ske genom att man i fråga om försörjningsplikt för styvföräldrar skilde på barn, som vårdas 1 andra makens hem vid tiden för äktenskapets ingående, och omhändertagna barn. Så har man gjort i det nyligen framlagda danska förslaget till lag om offentlig försörjningsplikt, vari man skiljer på styvfaders försörjningsplikt sålunda, att dylik endast kommer i fråga, då barnet medtages till makarnas gemensamma hem, och icke när det är omhändertaget av det allmänna.</w:t>
        <w:br/>
        <w:br/>
        <w:t xml:space="preserve">Till sist några ord om hemortsrättsbestämmelserna, angående vilka jag 1 min motion påyrkat utredning. Härvidlag hänvisar utskottet till behandlingen av denna fråga vid 1928 års riksdag, då en motion 1 ärendet av riksdagen avslogs, och förklarar sig icke hava skäl att frångå sin dåvarande ståndpunkt. Jag vill dock erinra om, att då frågan den gången var föremål för behandling, förelågo yttranden från distriktens fattigvårdsoch barnavårdskonsulenter, av vilka hälften gingo ut på tillstyrkande av motionen. Konsulenten i femte distriktet framhöll särskilt, att ändring vore av behovet påkallad och att protesterna från de kommuner, som drabbats av de enligt deras mening orättvisa bestämmelserna, voro både många och kraftiga. Även i vissa av de nu avgivna yttrandena understrykes behovet av ändringar härvidlag. Sålunda fäster barnavårdsdirektören i Stockholm största avseende vid hemortsrättsfrågan. Och det torde väl icke kunna bestridas, att det är orättvist, att en ogift </w:t>
      </w:r>
      <w:r>
        <w:rPr>
          <w:b/>
        </w:rPr>
        <w:t>mor²</w:t>
      </w:r>
      <w:r>
        <w:rPr>
          <w:b w:val="0"/>
        </w:rPr>
        <w:t>, som fullgör sin försörjningsplikt mot sitt barn, men som måhända på grund av barnafaderns försumlighet vid sjukdom nödgas anlita kommunens hjälp för barnet, riskerar att gå förlustig sin hemortsrätt. Samma är förhållandet med styvfader, som på grund av att han icke kan gälda kommunens vårdkostnader för ett barn, som icke är hans eget, förlorar sin hemortsrätt, medan den naturliga barnafadern t. o. m. vid uppenbar försummelse av sin försörjningsplikt icke löper en dylik risk.</w:t>
        <w:br/>
        <w:br/>
        <w:t xml:space="preserve">Til sist ber jag att få framhålla, att mina i motionen framställda yrkanden icke på något sätt dikterats av någon önskan att befria vederbörande styvföräldrar från deras försörjningsplikter, utan uteslutande kommit till för att om möjligt skapa ett skydd för de stackars hjälplösa och rättslösa barn, som samhället måste omhändertaga — emedan deras egna föräldrar icke velat eller kunnat detta — så att dessa barn icke enbart av ekonomiska skäl skola kunna ryckas från ett gott fosterhem, där de kanske vistats i åratal och åtnjutit kärlek och vård, där de vuxit sig fast och känna sig hemma, för att placeras i hem, där de oftast äro ovälkomna och där de icke mötas av någon föräldrakärlek. Styvbarnens ofta sorgliga lott utgör ett dystert kapitel i vår barnavårdshistoria, som kräver uppmärksamhet. Den lilla femåriga gossen i Lassekrog, som misshandlades till döds av en onaturlig styvfader, och den femtonåriga </w:t>
      </w:r>
      <w:r>
        <w:rPr>
          <w:b/>
        </w:rPr>
        <w:t>flickan²</w:t>
      </w:r>
      <w:r>
        <w:rPr>
          <w:b w:val="0"/>
        </w:rPr>
        <w:t xml:space="preserve"> i Limhamn, som sökte beröva sig livet genom förtärandet av saltsyra för att komma ifrån en elak styvmoder och ett kärlekslöst hem, — vilka händelser nyligen timat — äro upprörande exempel på, att samhället ännu icke lyckats skapa tillräckligt skydd för sådana barn. Att stora svårigheter härvidlag föreligga förstår jag väl, och jag förstår också de barnavårdsmän och fattigvårdsmän, som ställt sig tveksamma till huruvida de i motionen anvisade vägarna äro de riktiga. Men vad jag icke kan förstå är, att man tror sig kunna komma tillrätta med svårigheterna genom att direkt uppmana till att kringgå lagarna och sätta dem ur funktion. Jag tror, att det varit lyckligt, om utskottet förordat en utredning i likhet med vad som föreslagits från så många håll. Säkerligen torde det icke dröja länge, innan man nödgas företaga en sådan utredning, ty allt eftersom svårigheterna göra sig mera märkbara, kommer man nog till insikt om, att det ej är bra som det är.</w:t>
        <w:br/>
        <w:br/>
        <w:t>Som frågan nu ligger till, herr talman, har jag intet yrkande, utan får nöja mig med att min motion åtminstone haft den verkan, att uppmärksamheten riktats på föreliggande spörsmål.</w:t>
      </w:r>
    </w:p>
    <w:p>
      <w:pPr>
        <w:pStyle w:val="Heading2"/>
      </w:pPr>
      <w:r>
        <w:t>2. Martin Skoglund (–, man)</w:t>
      </w:r>
    </w:p>
    <w:p>
      <w:r>
        <w:rPr>
          <w:b w:val="0"/>
        </w:rPr>
        <w:t xml:space="preserve">Herr talman! När jag första gången läste </w:t>
      </w:r>
      <w:r>
        <w:rPr>
          <w:b/>
        </w:rPr>
        <w:t>fru²</w:t>
      </w:r>
      <w:r>
        <w:rPr>
          <w:b w:val="0"/>
        </w:rPr>
        <w:t xml:space="preserve"> Nordgrens motion, var det många synpunkter däri, som tilltalade mig, men när jag efteråt studerade saken närmare och var med om frågans utskottsbehandling, fann jag, att det ej är lätt att i praktiska livet omsätta de synpunkter, som motionären</w:t>
        <w:br/>
        <w:br/>
        <w:t>tänkt sig. På vissa punkter skulle vi kanske vinna ett helt annat resultat än vi ville med en sådan ändring.</w:t>
        <w:br/>
        <w:br/>
        <w:t xml:space="preserve">Det första, som motionären vill, är ju, att vad som stadgats om makas underhållsskyldighet mot andra makens barn i tidigare gifte eller utom äktenskapet måtte utgå. Som skäl för detta framhåller motionären, att det ofta blir vissa misshälligheter i äktenskapet genom underhållsskyldigheten för sådana barn. Det kan också vara andra skäl. Det kan påverka personer att leva i lösa förbindelser och att ej ingå äktenskap för att undgå ersättningsskyldighet. Onekligen finnas tillfällen, då sådana saker kunna inträffa, men Jag tror ej, att det är fallet i sådan omfattning som motionären framhållit, och det framgår även av de yttranden, som utskottet fått in, att det ej sker i så stor utsträckning. Å andra sidan skulle det medföra vissa konsekvenser att upphäva denna skyldighet att svara för andre makens barn. Vi skola komma ihåg, att det händer ofta att barn, som modern haft före äktenskapet och som </w:t>
      </w:r>
      <w:r>
        <w:rPr>
          <w:b/>
        </w:rPr>
        <w:t>hon²</w:t>
      </w:r>
      <w:r>
        <w:rPr>
          <w:b w:val="0"/>
        </w:rPr>
        <w:t xml:space="preserve"> ej vill släppa, därför att </w:t>
      </w:r>
      <w:r>
        <w:rPr>
          <w:b/>
        </w:rPr>
        <w:t>hon²</w:t>
      </w:r>
      <w:r>
        <w:rPr>
          <w:b w:val="0"/>
        </w:rPr>
        <w:t xml:space="preserve"> ingår äktenskap, får följa </w:t>
      </w:r>
      <w:r>
        <w:rPr>
          <w:b/>
        </w:rPr>
        <w:t>henne²</w:t>
      </w:r>
      <w:r>
        <w:rPr>
          <w:b w:val="0"/>
        </w:rPr>
        <w:t xml:space="preserve"> till </w:t>
      </w:r>
      <w:r>
        <w:rPr>
          <w:b/>
        </w:rPr>
        <w:t>hennes²</w:t>
      </w:r>
      <w:r>
        <w:rPr>
          <w:b w:val="0"/>
        </w:rPr>
        <w:t xml:space="preserve"> nya hem. Då träffar </w:t>
      </w:r>
      <w:r>
        <w:rPr>
          <w:b/>
        </w:rPr>
        <w:t>hon²</w:t>
      </w:r>
      <w:r>
        <w:rPr>
          <w:b w:val="0"/>
        </w:rPr>
        <w:t xml:space="preserve"> avtal med maken, att barnet skall få fostras i hemmet tillsammans med de andra barnen. Jag tror, att i många fall sådana uppgörelser träffats och hållits, så att barnen fått växa upp i det skydd, som ett hem kan lämna.</w:t>
        <w:br/>
        <w:br/>
        <w:t xml:space="preserve">Nu komma vi in på de konsekvenser, som kunna följa av ett upphävande av en sådan bestämmelse. Vi säga, att mannen icke har någon skyldighet att lämna bidrag till </w:t>
      </w:r>
      <w:r>
        <w:rPr>
          <w:b/>
        </w:rPr>
        <w:t>hustruns²</w:t>
      </w:r>
      <w:r>
        <w:rPr>
          <w:b w:val="0"/>
        </w:rPr>
        <w:t xml:space="preserve"> barn, som </w:t>
      </w:r>
      <w:r>
        <w:rPr>
          <w:b/>
        </w:rPr>
        <w:t>hon²</w:t>
      </w:r>
      <w:r>
        <w:rPr>
          <w:b w:val="0"/>
        </w:rPr>
        <w:t xml:space="preserve"> hade före äktenskapet, om ej barnet vistas i hemmet. Om vi göra ett sådant medgivande, ligger det nära till hands att tänka, att beträffande ett sådant barn kommer husfadern att säga: »Jag har ingen skyldighet att ha barnet här utan ersättning.» Det kommer att resas krav på ersättning från samhället, som vi ej räknat med. Motionären säger i motionen, att det inträffar fall, som äro särskilt ömmande och svåra. </w:t>
      </w:r>
      <w:r>
        <w:rPr>
          <w:b/>
        </w:rPr>
        <w:t>Hon²</w:t>
      </w:r>
      <w:r>
        <w:rPr>
          <w:b w:val="0"/>
        </w:rPr>
        <w:t xml:space="preserve"> pekar på, att det ibland händer, att mannen gifter sig med en </w:t>
      </w:r>
      <w:r>
        <w:rPr>
          <w:b/>
        </w:rPr>
        <w:t>kvinna¹</w:t>
      </w:r>
      <w:r>
        <w:rPr>
          <w:b w:val="0"/>
        </w:rPr>
        <w:t xml:space="preserve"> utan att, när han gör det, veta att </w:t>
      </w:r>
      <w:r>
        <w:rPr>
          <w:b/>
        </w:rPr>
        <w:t>hon²</w:t>
      </w:r>
      <w:r>
        <w:rPr>
          <w:b w:val="0"/>
        </w:rPr>
        <w:t xml:space="preserve"> har barn. Jag måste erkänna, att det är alltid riskabelt att gifta sig med ett obekant </w:t>
      </w:r>
      <w:r>
        <w:rPr>
          <w:b/>
        </w:rPr>
        <w:t>fruntimmer²</w:t>
      </w:r>
      <w:r>
        <w:rPr>
          <w:b w:val="0"/>
        </w:rPr>
        <w:t xml:space="preserve">. Ha de ej närmare bekantskap med varandra förut, är det säkrast att taga ut prästbetyg. Vi utgå ifrån, när vi tänka på denna ersättningsskyldighet för andre makens barn, att i regel ett sådant krav skall vålla oreda i hemmets ekonomi. Men vi skola då komma ihåg, att det händer, att det kommer krav även mot husfadern. Jag skall säga något, som nog alla veta, att karlarna äro inga änglar de heller. Det händer, att de också ha barn utom äktenskapet, och det är kanske ännu svårare för dem att tala om, att de ha barn tidigare. Mannen behöver ofta ett häradsrättens utslag för att kunna erinra sig faderskapet. Jag tycker det vållar samma svårighet för hemmets ekonomi, om det kommer krav mot mannen, som då det kommer mot </w:t>
      </w:r>
      <w:r>
        <w:rPr>
          <w:b/>
        </w:rPr>
        <w:t>hustrun²</w:t>
      </w:r>
      <w:r>
        <w:rPr>
          <w:b w:val="0"/>
        </w:rPr>
        <w:t xml:space="preserve">. Detta har bidragit till, att vi i utskottet ställt oss tveksamma, om man vinner vad motionären tänkt sig genom att biträda </w:t>
      </w:r>
      <w:r>
        <w:rPr>
          <w:b/>
        </w:rPr>
        <w:t>hennes²</w:t>
      </w:r>
      <w:r>
        <w:rPr>
          <w:b w:val="0"/>
        </w:rPr>
        <w:t xml:space="preserve"> önskningar i detta fall.</w:t>
        <w:br/>
        <w:br/>
        <w:t xml:space="preserve">Sedan kommer motionären fram till ett annat yrkande. </w:t>
      </w:r>
      <w:r>
        <w:rPr>
          <w:b/>
        </w:rPr>
        <w:t>Hon²</w:t>
      </w:r>
      <w:r>
        <w:rPr>
          <w:b w:val="0"/>
        </w:rPr>
        <w:t xml:space="preserve"> vill ha tiden, under vilken man kan göra ersättningsanspråk gällande mot vederbörande, förkortad till 120 dagar. Det ligger något häri, som vid första påseendet verkar tilltalande, men vi skulle kanske som följd få något, som vi ej räknat med, nämligen ett betydligt större antal krav från myndigheterna än för närvarande. Det kan vara så, att en fattigvårdsmyndighet, som är rädd för, att den ej får fullfölja sin talan, eftersom tiden utlöper, väcker mål, som den ej väckt, om man haft tid på sig. Man kanske underhandlar i all fredlighet med en barnafader, och under tiden gå de 120 dagarna till ända, och för att ej försitta något väcker man åtal. Det har visat sig, att flera av de fattigvårdsmyndigheter, som hörts, gått in för att ej göra någon ändring på denna punkt.</w:t>
        <w:br/>
        <w:br/>
        <w:t xml:space="preserve">Det största och mest bärande kravet motionären fört fram, tycker jag är </w:t>
      </w:r>
      <w:r>
        <w:rPr>
          <w:b/>
        </w:rPr>
        <w:t>hennes²</w:t>
      </w:r>
      <w:r>
        <w:rPr>
          <w:b w:val="0"/>
        </w:rPr>
        <w:t xml:space="preserve"> förslag att ett barn ej skall få förflyttas från fosterhemmet utan att man hör barnavårdsnämnden. Jag har gjort samma iakttagelse som </w:t>
      </w:r>
      <w:r>
        <w:rPr>
          <w:b/>
        </w:rPr>
        <w:t>fru²</w:t>
      </w:r>
      <w:r>
        <w:rPr>
          <w:b w:val="0"/>
        </w:rPr>
        <w:t xml:space="preserve"> Nordgren, att</w:t>
        <w:br/>
        <w:br/>
        <w:t xml:space="preserve">det på det här området ofta förekommer något, som ej är bra. Många gånger utnyttjar barnets </w:t>
      </w:r>
      <w:r>
        <w:rPr>
          <w:b/>
        </w:rPr>
        <w:t>moder²</w:t>
      </w:r>
      <w:r>
        <w:rPr>
          <w:b w:val="0"/>
        </w:rPr>
        <w:t xml:space="preserve"> och t. o. m. dess fader den kärlek, som fosterföräldrarna hysa till sina fosterbarn, till ren utpressning. Det kan hända, att barnet växt</w:t>
        <w:br/>
        <w:br/>
        <w:t>upp i fosterföräldrarnas hem och att de fäst sig vid barnet. Så kommer modern lagen m. m.</w:t>
        <w:br/>
        <w:br/>
        <w:t>och säger: »Jag tar barnet med mig.» Fosterföräldrarna vilja inte släppa barnet, och då händer det många gånger, att modern förmår dem att avstå från den betalning, de tidigare haft, även om deras ekonomi inte tillåter en sådan eftergift.</w:t>
        <w:br/>
        <w:br/>
        <w:t xml:space="preserve">Men vilja vi följa motionären uppstå andra svårigheter. Vi komma in på det, som är det bärande i våra familjerättsliga förhållanden, nämligen moders och barns förhållande till varandra. Vi ingripa i </w:t>
      </w:r>
      <w:r>
        <w:rPr>
          <w:b/>
        </w:rPr>
        <w:t>moderns²</w:t>
      </w:r>
      <w:r>
        <w:rPr>
          <w:b w:val="0"/>
        </w:rPr>
        <w:t xml:space="preserve"> rätt till sina barn. Redan nu enligt den gällande lagstiftningen har barnavårdsnämnd rätt att taga hand om ett barn, om hemmet är olämpligt. Vad motionären vill nu, det är, att även 1 de fall, där icke hemmet kan anses olämpligt, man ändock skulle få lov vända sig till nämnden. Jag tror, att vi med det här komma in på en stor och svår fråga, som vi ej rå med att lösa.</w:t>
        <w:br/>
        <w:br/>
        <w:t>Komma vi så till det sista, som motionären önskar, så gäller det vissa ändringar 1 hemortsbestämmelserna. Det ligger något i det, men det är svårt att få sådana bestämmelser, som ej bli orättvisa och lämna mindre tillfredsställande resultat. Därför måste jag varna kammaren för att utan tvingande skäl ändra bestämmelserna i gällande lag. Lagen är ej mer än 12 år gammal och har redan ändrats vid flera tillfällen. Vi skola komma ihåg att de, som skola omhänderha lagens tillämpning i kommunerna, äro ej jurister och köpa ej lagbok varje år, utan det är kommunala förtroendemän. Det betyder stora svårigheter för dem, om det skall bli ständiga ändringar särskilt på sådana punkter, som de måste handskas med så ofta, som fallet är med hemortsbestämmelserna. Allt detta har gjort, att jag och utskottets ledamöter i övrigt icke kunnat tillstyrka motionärens begäran om utredning på alla dessa punkter, så mycket mera som fattigvårdsinspektören von Koch i sitt yttrande till utskottet påpekat, att han är livligt intresserad — och det gäller även statens fattigvårdsinspektörer i övrigt — av att följa utvecklingen och skall göra allt vad göras kan för att tillse, att myndigheterna följa icke blott lagens bokstav, utan vad som är ännu viktigare, dess andemening, och se till, att människor få hjälp på bästa sätt.</w:t>
        <w:br/>
        <w:br/>
        <w:t xml:space="preserve">Till sist yttrar </w:t>
      </w:r>
      <w:r>
        <w:rPr>
          <w:b/>
        </w:rPr>
        <w:t>fru²</w:t>
      </w:r>
      <w:r>
        <w:rPr>
          <w:b w:val="0"/>
        </w:rPr>
        <w:t xml:space="preserve"> Nordgren i sitt anförande ett par saker, som jag anser ej böra få stå oemotsagda. </w:t>
      </w:r>
      <w:r>
        <w:rPr>
          <w:b/>
        </w:rPr>
        <w:t>Hon²</w:t>
      </w:r>
      <w:r>
        <w:rPr>
          <w:b w:val="0"/>
        </w:rPr>
        <w:t xml:space="preserve"> säger, att utskottet angivit kryphål i lagen. </w:t>
      </w:r>
      <w:r>
        <w:rPr>
          <w:b/>
        </w:rPr>
        <w:t>Hon²</w:t>
      </w:r>
      <w:r>
        <w:rPr>
          <w:b w:val="0"/>
        </w:rPr>
        <w:t xml:space="preserve"> syftade därvid på ett yttrande, som kommit från Malmö fattigvårdsnämnd, vil. ken säger, att det i vissa fall hänt, att modern begärt förmynderskapets överflyttande till fosterföräldrarna. Jag tror, att </w:t>
      </w:r>
      <w:r>
        <w:rPr>
          <w:b/>
        </w:rPr>
        <w:t>fru²</w:t>
      </w:r>
      <w:r>
        <w:rPr>
          <w:b w:val="0"/>
        </w:rPr>
        <w:t xml:space="preserve"> Nordgren har fel. Jag tror ej, att det kan vara fråga om olagligheter, som </w:t>
      </w:r>
      <w:r>
        <w:rPr>
          <w:b/>
        </w:rPr>
        <w:t>fru²</w:t>
      </w:r>
      <w:r>
        <w:rPr>
          <w:b w:val="0"/>
        </w:rPr>
        <w:t xml:space="preserve"> Nordgren säger. Det var nog ej mot </w:t>
      </w:r>
      <w:r>
        <w:rPr>
          <w:b/>
        </w:rPr>
        <w:t>moderns²</w:t>
      </w:r>
      <w:r>
        <w:rPr>
          <w:b w:val="0"/>
        </w:rPr>
        <w:t xml:space="preserve"> vilja det skedde. Modern hade begärt hos domstolen, att vårdnaden och förmynderskapet skulle överflyttas på fosterföräldrarna. De hade kanske under många år omhänderhaft barnet, och då ansåg modern, att de skulle ha vårdnaden och förmynderskapet.</w:t>
        <w:br/>
        <w:br/>
        <w:t>Herr talman, jag tror ej, att vi f. n. kunna komma till bättre resultat genom att igångsätta en utredning, utan vi få tänka oss, att våra fattigvårdsmän ute i livet få göra det bästa med nuvarande lagstiftning.</w:t>
        <w:br/>
        <w:br/>
        <w:t>Jag yrkar bifall till utskottets hemställan, om avslag på motionen.</w:t>
      </w:r>
    </w:p>
    <w:p>
      <w:pPr>
        <w:pStyle w:val="Heading2"/>
      </w:pPr>
      <w:r>
        <w:t>3. Anders Paulsen (Socialdemokraterna, man)</w:t>
      </w:r>
    </w:p>
    <w:p>
      <w:r>
        <w:rPr>
          <w:b w:val="0"/>
        </w:rPr>
        <w:t xml:space="preserve">Herr talman! Någon ändrad lagstiftning angående försörjning av andre makens barn anser jag för min del ej vara påkallad. Gifter en man sig med en </w:t>
      </w:r>
      <w:r>
        <w:rPr>
          <w:b/>
        </w:rPr>
        <w:t>kvinna¹</w:t>
      </w:r>
      <w:r>
        <w:rPr>
          <w:b w:val="0"/>
        </w:rPr>
        <w:t xml:space="preserve">, som har barn, är det rätt och riktigt, att han försörjer barnet, och någon särskild lagstiftning för dem, som blivit bedragna vid äktenskapets ingående, kan ej komma ifråga. Nu säger motionären, att de fall, där </w:t>
      </w:r>
      <w:r>
        <w:rPr>
          <w:b/>
        </w:rPr>
        <w:t>hustrun²</w:t>
      </w:r>
      <w:r>
        <w:rPr>
          <w:b w:val="0"/>
        </w:rPr>
        <w:t xml:space="preserve"> har barn före äktenskapet men fördöljer det för mannen, äro</w:t>
        <w:br/>
        <w:br/>
        <w:t xml:space="preserve">mycket vanliga. Men jag tror, så vitt jag känner människorna rätt, att de lyckligtvis alltjämt höra till undantagen. Har en </w:t>
      </w:r>
      <w:r>
        <w:rPr>
          <w:b/>
        </w:rPr>
        <w:t>kvinna¹</w:t>
      </w:r>
      <w:r>
        <w:rPr>
          <w:b w:val="0"/>
        </w:rPr>
        <w:t xml:space="preserve"> vid äktenskapets ingående dolt. för mannen, att </w:t>
      </w:r>
      <w:r>
        <w:rPr>
          <w:b/>
        </w:rPr>
        <w:t>hon²</w:t>
      </w:r>
      <w:r>
        <w:rPr>
          <w:b w:val="0"/>
        </w:rPr>
        <w:t xml:space="preserve"> har barn, har mannen endast två ting att välja på: antingen förlåter han </w:t>
      </w:r>
      <w:r>
        <w:rPr>
          <w:b/>
        </w:rPr>
        <w:t>henne²</w:t>
      </w:r>
      <w:r>
        <w:rPr>
          <w:b w:val="0"/>
        </w:rPr>
        <w:t xml:space="preserve"> och lever fortfarande tillsammans med </w:t>
      </w:r>
      <w:r>
        <w:rPr>
          <w:b/>
        </w:rPr>
        <w:t>henne²</w:t>
      </w:r>
      <w:r>
        <w:rPr>
          <w:b w:val="0"/>
        </w:rPr>
        <w:t xml:space="preserve"> och försörjer </w:t>
      </w:r>
      <w:r>
        <w:rPr>
          <w:b/>
        </w:rPr>
        <w:t>hennes²</w:t>
      </w:r>
      <w:r>
        <w:rPr>
          <w:b w:val="0"/>
        </w:rPr>
        <w:t xml:space="preserve"> barn, eller också skiljer han sig, vilket under sådana förhållanden är ganska lätt.</w:t>
        <w:br/>
        <w:br/>
        <w:t xml:space="preserve">Så är det en sak i motionen, som jag för min del har stora sympatier för, och som jag gärna skulle se att man kom till rätta med. Det är så, att om ett barn är omhändertaget av samhället, utackorderat och har vuxit fast i fosterhemmet, där det rönt kärlek och omvårdnad, kan det, då modern ingått äktenskap, utan vidare ryckas från det hemmet. Ofta är motivet det, att det blir billigare att taga barnet till sig. Nu händer det ofta, när man försöker taga hem ett barn, att fosterföräldrarna, om deras ekonomi tillåter det, vilja behålla barnet utan betalning, och då är allt gott och väl. Men där deras ekonomi icke tillåter det, blir barnet hemtaget till </w:t>
      </w:r>
      <w:r>
        <w:rPr>
          <w:b/>
        </w:rPr>
        <w:t>moderns²</w:t>
      </w:r>
      <w:r>
        <w:rPr>
          <w:b w:val="0"/>
        </w:rPr>
        <w:t xml:space="preserve"> nya hem, där det ofta blir ovälkommet. Detta vållar lidande för fosterföräldrarna och för barnet självt kunna dess uppväxtår så förbittras, att det lämnar märke för hela livet.</w:t>
        <w:br/>
        <w:br/>
        <w:t>För övrigt så skall man vara ytterligt försiktig med att ändra lagen på ett sådant område, det vållar bara besvär och svårigheter för de människor, som skola omsätta lagen i levande livet.</w:t>
        <w:br/>
        <w:br/>
        <w:t>Så vill jag påpeka en sak till, nämligen det yttrande, som utskottet fått från statens inspektör för fattigvård och barnavård. Han stöder sig på ett uttalande från barnavårdsdirektören i Malmö. Det låter så här: »Barnavårdsdirektören i Malmö påvisar den möjlighet till upphävande av styvfaders ersättningsskyldighet, som låge i ett överflyttande av förmynderskapet för barnet och därmed även vårdnaden från modern till barnets fosterföräldrar. Exempel på sådan efter framställning från modern företagen överflyttning hade förekommit i Malmö.» Nu är det så, att man må överflytta förmynderskap så mycket man vill antingen på fosterföräldrarna eller annan, så står ersättningsskyldigheten kvar hos den, som har försörjningsplikt i alla fall. Det hjälper ingenting annat än adoption. Det är tydligt, att när statens inspektör för fattigvård och barnavård kritiklöst lämnar ett sådant uttalande till utskottet, när utskottet behandlat den här frågan, så utgör detta en allvarlig varning till motionärer, som tänka anlita statens inspektör för fattigvård och barnavård efter detta, att noga se upp, innan man följer råd från det hållet.</w:t>
      </w:r>
    </w:p>
    <w:p>
      <w:pPr>
        <w:pStyle w:val="Heading2"/>
      </w:pPr>
      <w:r>
        <w:t>4. Olivia Nordgren (Socialdemokraterna, woman)</w:t>
      </w:r>
    </w:p>
    <w:p>
      <w:r>
        <w:rPr>
          <w:b w:val="0"/>
        </w:rPr>
        <w:t xml:space="preserve">Herr talman! Jag vill till de båda föregående ärade talarna säga, att de böra göra klart för sig, att min motion icke gäller några ändringar i avseende å försörjningsplikten för styvföräldrar utan enbart ersättningsskyldigheten för sådant barn, som av samhället omhändertagits, vilket är en väsentlig skillnad. Herr Skoglund talade om fall där barnen vistas i andre makens hem och där mannen utan vidare är lagligen försörjningspliktig, och herr Skoglund ansåg, att om man ändrade lagarna skulle mannen även i sådana fall göra sig fri från försörjningsplikten. Jag tror icke, att så skulle bli förhållandet. Det blir väl ändå skillnad på de olika fallen. Om en man gifter sig med en </w:t>
      </w:r>
      <w:r>
        <w:rPr>
          <w:b/>
        </w:rPr>
        <w:t>änka²</w:t>
      </w:r>
      <w:r>
        <w:rPr>
          <w:b w:val="0"/>
        </w:rPr>
        <w:t xml:space="preserve">, som har barn, eller med en </w:t>
      </w:r>
      <w:r>
        <w:rPr>
          <w:b/>
        </w:rPr>
        <w:t>kvinna¹</w:t>
      </w:r>
      <w:r>
        <w:rPr>
          <w:b w:val="0"/>
        </w:rPr>
        <w:t xml:space="preserve"> med barn utom äktenskap, och dessa barn vistas hos modern, så vet han, att han åtager sig försörjningsplikten av dem. Men om en man gifter sig med en </w:t>
      </w:r>
      <w:r>
        <w:rPr>
          <w:b/>
        </w:rPr>
        <w:t>kvinna¹</w:t>
      </w:r>
      <w:r>
        <w:rPr>
          <w:b w:val="0"/>
        </w:rPr>
        <w:t>, som har ett barn, som kanske sedan flera år tillbaka omhändertagits för försörjning av det allmänna, så är det fara för att den mannen icke gör sig reda för att han i och med detta giftermål övertager försörjningsplikten. Antag vidare, att kontrahenterna gifta sig i södra Sverige, medan barnet är omhändertaget och utackorderat i norra Sverige. Det kan då taga ganska lång tid, innan myndigheterna göra något för att mannen skall förklaras skyldig ersätta kommunen för dess</w:t>
        <w:br/>
        <w:br/>
        <w:t>kostnader för barnet. Det vållar i ett hem, där mannen har begränsade inkomster, stora ekonomiska svårigheter att gälda en skuld, som mannen har sig själv ovetande kommit 1 för en annan mans barn.</w:t>
        <w:br/>
        <w:br/>
        <w:t xml:space="preserve">Helt naturligt blir det svåra slitningar i ett sådant hem, som alltid blir, när ekonomiska krav resas mot ett hem som har fattigt och smått om det. TI fortsättningen finns ingen annan utväg än att, om mannen icke kan betala, han får taga barnet till sig. Det är det, som jag tycker är så fruktansvärt upprörande, att man av ekonomiska skäl skall handskas med barnet som en handelsvara. Därför att det är för dyrt med vårdnaden, tager man barnet från fosterhemmet och placerar det i ett hem, där det kommer till en fullständigt obekant man, som skall vara fader, och till en </w:t>
      </w:r>
      <w:r>
        <w:rPr>
          <w:b/>
        </w:rPr>
        <w:t>moder²</w:t>
      </w:r>
      <w:r>
        <w:rPr>
          <w:b w:val="0"/>
        </w:rPr>
        <w:t xml:space="preserve">, som kanske aldrig haft barnet i sin vård. Man borde skilja mellan när modern själv vårdar sitt barn och då </w:t>
      </w:r>
      <w:r>
        <w:rPr>
          <w:b/>
        </w:rPr>
        <w:t>hon²</w:t>
      </w:r>
      <w:r>
        <w:rPr>
          <w:b w:val="0"/>
        </w:rPr>
        <w:t xml:space="preserve"> icke gör det. Jag har all respekt för att sambandet mellan </w:t>
      </w:r>
      <w:r>
        <w:rPr>
          <w:b/>
        </w:rPr>
        <w:t>moder²</w:t>
      </w:r>
      <w:r>
        <w:rPr>
          <w:b w:val="0"/>
        </w:rPr>
        <w:t xml:space="preserve"> och barn upprätthålles, men då skall det finnas ett verkligt samband och icke ett uppkonstruerat. Jag kan icke hysa samma respekt, när förhållandena äro annorlunda. Det må förlåtas mig, att jag mera ser på barnets rätt än på föräldrarnas och kanske samhällets ekonomiska intressen.</w:t>
        <w:br/>
        <w:br/>
        <w:t xml:space="preserve">Herr Skoglund anförde, att det också finnes män, som ha barn utom äktenskap och att deras ersättningsskyldigheter för dessa också kunna vålla svårigheter för hemmens ekonomi. Detta medgives villigt, men det är dock en viss skillnad. Mannen är i regel familjeförsörjare, och den som har inkomst. Han kan betala för barnet. Men om </w:t>
      </w:r>
      <w:r>
        <w:rPr>
          <w:b/>
        </w:rPr>
        <w:t>hustrun²</w:t>
      </w:r>
      <w:r>
        <w:rPr>
          <w:b w:val="0"/>
        </w:rPr>
        <w:t xml:space="preserve"> stannar i hemmet, förfogar </w:t>
      </w:r>
      <w:r>
        <w:rPr>
          <w:b/>
        </w:rPr>
        <w:t>hon²</w:t>
      </w:r>
      <w:r>
        <w:rPr>
          <w:b w:val="0"/>
        </w:rPr>
        <w:t xml:space="preserve"> icke över andra pengar än dem, </w:t>
      </w:r>
      <w:r>
        <w:rPr>
          <w:b/>
        </w:rPr>
        <w:t>hon²</w:t>
      </w:r>
      <w:r>
        <w:rPr>
          <w:b w:val="0"/>
        </w:rPr>
        <w:t xml:space="preserve"> får av sin man. Fadern till utomäktenskapligt barn ställes alltså icke inför samma svårigheter som modern till sådant barn. Barnet svävar heller icke i samma fara, ty fadern till ett utomäktenskapligt barn kan icke placera detta barn i sitt hem, i stället för att betala för det, som han kan med sin </w:t>
      </w:r>
      <w:r>
        <w:rPr>
          <w:b/>
        </w:rPr>
        <w:t>hustrus²</w:t>
      </w:r>
      <w:r>
        <w:rPr>
          <w:b w:val="0"/>
        </w:rPr>
        <w:t xml:space="preserve"> utomäktenskapliga barn.</w:t>
        <w:br/>
        <w:br/>
        <w:t>Beträffande preskriptionstiden tror jag icke att det skulle föranleda några svårigheter, om man förkortade densamma till 120 dagar. Vi ha haft det så tidigare, och jag har mig icke bekant, att detta åstadkommit så stora svårigheter.</w:t>
        <w:br/>
        <w:br/>
        <w:t xml:space="preserve">Så var det det av mig omnämnda kryphålet i lagstiftningen som förordats. Om herr Skoglund läser på sid. 6 i andra lagutskottets utlåtande, så finner han, att det där tydligt utsäges, att barnavårdsdirektören i Malmö påvisat den möjlighet till upphävande av styvfaderns ersättningsskyldighet, som låge i ett överflyttande av förmynderskapet för barnet och därmed även vårdnaden från modern till barnets fosterföräldrar. Alltså för att komma ifrån ersättningsskyldigheterna rekommenderar man denna utväg. Det skulle visserligen icke ske utan </w:t>
      </w:r>
      <w:r>
        <w:rPr>
          <w:b/>
        </w:rPr>
        <w:t>moderns²</w:t>
      </w:r>
      <w:r>
        <w:rPr>
          <w:b w:val="0"/>
        </w:rPr>
        <w:t xml:space="preserve"> medgivande, men det är enligt min mening en tvivelaktig metod. Man säger, att det är icke lämpligt att ändra lagarna, men man anvisar denna utväg för att slippa ifrån lagarnas konsekvenser. Det är farligt att i ett utlåtande, som av riksdagen skall antagas, indirekt säga att raka vägar vilja vi icke veta av, men genom kryphål och på smygvägar få vi gärna komma till samma resultat.</w:t>
      </w:r>
    </w:p>
    <w:p>
      <w:pPr>
        <w:pStyle w:val="Heading2"/>
      </w:pPr>
      <w:r>
        <w:t>5. Martin Skoglund (–, man)</w:t>
      </w:r>
    </w:p>
    <w:p>
      <w:r>
        <w:rPr>
          <w:b w:val="0"/>
        </w:rPr>
        <w:t xml:space="preserve">Herr talman! Jag skall icke taga upp någon lång debatt, men det är några rena missförstånd, som herr Paulsen och </w:t>
      </w:r>
      <w:r>
        <w:rPr>
          <w:b/>
        </w:rPr>
        <w:t>fru²</w:t>
      </w:r>
      <w:r>
        <w:rPr>
          <w:b w:val="0"/>
        </w:rPr>
        <w:t xml:space="preserve"> Nordgren gjort sig skyldiga till, som jag ber att få rätta. </w:t>
      </w:r>
      <w:r>
        <w:rPr>
          <w:b/>
        </w:rPr>
        <w:t>Fru²</w:t>
      </w:r>
      <w:r>
        <w:rPr>
          <w:b w:val="0"/>
        </w:rPr>
        <w:t xml:space="preserve"> Nordgren säger om igen, att såväl statens inspektör för fattigvård och barnavård som andra lagutskottet ha pekat på såsom en framkomlig väg överflyttande av förmynderskap och vårdnaden till fosterföräldrarna. Jag skall då be att få framhålla, att jag fattat statens inspektörs för fattigvård och barnavård yttrande som ett sammandrag över vad som förekommit. Han omnämner alla yttranden, som inkommit från olika myndigheter, och han drar ut det viktigaste som framkommit. Han omnämner då också, hurusom barnavårdsdirektören 1 Malmö påvisat o. s. v.</w:t>
        <w:br/>
        <w:br/>
        <w:t xml:space="preserve">. de Jag kan icke finna, att vare sig inspektören för fattigvård och barnavård eller snart andra lagutskottet ha ställt sig det ringaste bakom, då frågan gällt, om det är fattigvårdslämpligt eller icke. Det är bara ett omnämnande. lagen m. m. Sedan kommer </w:t>
      </w:r>
      <w:r>
        <w:rPr>
          <w:b/>
        </w:rPr>
        <w:t>fru²</w:t>
      </w:r>
      <w:r>
        <w:rPr>
          <w:b w:val="0"/>
        </w:rPr>
        <w:t xml:space="preserve"> Nordgren och säger, att det är en förfärlig skillnad mel- (Forts.) lan försörjningsplikt och ersättningsskyldighet. Det må så vara, men dessa begrepp ha dock en viss samhörighet. Det är klart, att om två grannar bo i samma hus och det är lika i båda familjerna, att husmodern har barn före äktenskapets ingeånde, och den ena icke vårdar barnet utan har det utackorderat, där skulle mannen således icke ha vare sig besvär eller kostnad för barnet, men i den andra familjen, där barnet försörjes i hemmet utan hjälp från samhällets sida, där skulle ju familjeförsörjaren åsamkas kostnad; då ligger det väl nära till hands att husfadern i den familjen säger: varför skall icke jag ha ersättning, har jag någon skyldighet mot min </w:t>
      </w:r>
      <w:r>
        <w:rPr>
          <w:b/>
        </w:rPr>
        <w:t>hustrus²</w:t>
      </w:r>
      <w:r>
        <w:rPr>
          <w:b w:val="0"/>
        </w:rPr>
        <w:t xml:space="preserve"> barn, när min granne icke har det mot sin </w:t>
      </w:r>
      <w:r>
        <w:rPr>
          <w:b/>
        </w:rPr>
        <w:t>hustrus²</w:t>
      </w:r>
      <w:r>
        <w:rPr>
          <w:b w:val="0"/>
        </w:rPr>
        <w:t xml:space="preserve"> barn.</w:t>
        <w:br/>
        <w:br/>
        <w:t>Fattigvårdsmyndigheterna och barnavårdsmyndigheterna ha gått mycket klokt och försiktigt fram, när det gällt att tillämpa dessa bestämmelser. Det har icke skett i sådan utsträckning, att man kan säga, att det använts några hårda medel. Av yttrandena framgår ju, att i Stockholm, när det anhängiggjorts talan mot enskilda personer, så har det av 4,243 fall endast varit 34, som gällt ersättningsskyldighet för andre makens barn.</w:t>
        <w:br/>
        <w:br/>
      </w:r>
      <w:r>
        <w:rPr>
          <w:b/>
        </w:rPr>
        <w:t>Fru²</w:t>
      </w:r>
      <w:r>
        <w:rPr>
          <w:b w:val="0"/>
        </w:rPr>
        <w:t xml:space="preserve"> Nordgren säger, att det är stor skillnad på </w:t>
      </w:r>
      <w:r>
        <w:rPr>
          <w:b/>
        </w:rPr>
        <w:t>hustrun²</w:t>
      </w:r>
      <w:r>
        <w:rPr>
          <w:b w:val="0"/>
        </w:rPr>
        <w:t xml:space="preserve"> och mannen i det fallet. Mannen har egen inkomst, han betalar av sin arbetsförtjänst. Delvis är det riktigt, men det är väl så, att om det är ett gott förhållande, så böra makarna ha affärerna ihop. Och jag tror inte, att den man, som ger ut en del av sin inkomst i understödsbidrag för barn utom äktenskapet, alltid får så angenämt i hemmet. Jag vidhåller mitt yrkande.</w:t>
        <w:br/>
        <w:br/>
        <w:t>arbete fal ». vilken behandlats av andra lagutskottet, hade herr Osberg föreslagit, att riksdagen ville i skrivelse till Kungl. Maj:t anhålla, det Kungl. Maj:t måtte skyndsamt låta verkställa utredning om sådan ändring av nu gällande lag om försäkring för olycksfall i arbete, att varje person över viss ålder bleve obligatoriskt försäkrad mot skada till följd av olycksfall i arbete, under förutsättning att behov förelåge, samt om statens övertagande av hela verksamheten, både beträffande förvaltningen och skadeersättningen.</w:t>
      </w:r>
    </w:p>
    <w:p>
      <w:pPr>
        <w:pStyle w:val="Heading2"/>
      </w:pPr>
      <w:r>
        <w:t>6. Oscar Osberg (–, man)</w:t>
      </w:r>
    </w:p>
    <w:p>
      <w:r>
        <w:rPr>
          <w:b w:val="0"/>
        </w:rPr>
        <w:t>Herr talman! Frågan om riksförsäkringsanstaltens verksamhet har jag sysslat med förut. Är 1925 gjorde jag en framställning om förenkling av denna försäkringsanstalt i syfte att nedbringa förvaltningskostnaderna. Resultatet den gången blev negativt. Det påvisades då hurusom man arbetade på att nedbringa dessa förvaltningskostnader och man måste medgiva, att i en ringa mån har det lyckats, ehuru det vore mycket övrigt att önska</w:t>
        <w:br/>
        <w:br/>
        <w:t>i det hänseendet. Men jag har under årens lopp tänkt på denna omständighet och funnit, att de nu rådande förhållandena äro långt ifrån tillfredsställande, icke blott beträffande de dryga förvaltningskostnaderna utan även beträffande de otillfredsställande åtgärder, som kunna komma i fråga här. Det är nämligen så, som herrarna veta, att det är endast löneanställda, som äro föremål för försäkring, om en olycka skulle inträffa. Nu veta vi, att det är stora kategorier av folk, som icke erhålla hjälp, nämligen egnahemsbrukare och jordbrukare och deras barn i eget arbete, hantverkare som äro egna företagare 0. s. v. Jag har talat i dag med en tjänsteman i riksförsäkringsanstalten och frågat, hur långt det sträcker sig upp på skalan när det är fråga om försäkring för tjänsteanställda. Han sade, att det går ända upp till generaldirektörer.</w:t>
        <w:br/>
        <w:br/>
        <w:t>Under dessa förhållanden hade jag tänkt få en utredning, som gick ut på att alla, som utföra produktivt arbete, skulle vara försäkrade. Denna tankegång tycker jag är fullkomligt riktig, och den är i viss mån föremål för utredning. Det är nämligen så, att 1928 tillsatte Kungl. Maj:t en kommitté, som skulle utreda, om det är möjligt att anknyta en frivillig försäkring till riksförsäkringsanstalten, d. v. s. att sådana skulle kunna frivilligt försäkra sig, som icke ha förmånen att lyda under den lag som finnes. Om det vore så enkelt som att kunna göra denna anknytning, så att den bleve effektiv, så vore om den saken icke mycket att säga, men det kommer att hopa sig många svårigheter. Jag har tagit till exempel i min motion en dagsverkstorpare. Vi kunna säga, att han gör dagsverken två dagar i veckan. Då är han försäkrad. Men de övriga fyra dagarna, då han arbetar hemma, bryr sig det allmänna icke om konom. Det förhållandet kan inte vara lämpligt utan har sina stora olägenheter. Jag tror, att det knappast är möjligt för den tillsatta kommittén att kunna komma till en sådan lösning, som kommer att ha någon vidare betydelse.</w:t>
        <w:br/>
        <w:br/>
        <w:t>Det är detsamma med egnahemsbrukare. De måste söka sig arbete utanför det egna hemmet. Då äro de försäkrade, men arbeta de på den egna torvan, då bryr sig det allmänna icke om dem. De få anlita fattigvården, om de träffas av en olycka och icke själva äro i stånd att bestrida kostnaderna.</w:t>
        <w:br/>
        <w:br/>
        <w:t xml:space="preserve">Sedan kan man taga lika bärande exempel, då det gäller arbetsföra barn, som hjälpa till hemma hos hantverkare eller jordbrukare. En lantbrukare har en vuxen son eller </w:t>
      </w:r>
      <w:r>
        <w:rPr>
          <w:b/>
        </w:rPr>
        <w:t>dotter²</w:t>
      </w:r>
      <w:r>
        <w:rPr>
          <w:b w:val="0"/>
        </w:rPr>
        <w:t xml:space="preserve"> vid jordbruket och samtidigt legda arbetare, en manlig och en </w:t>
      </w:r>
      <w:r>
        <w:rPr>
          <w:b/>
        </w:rPr>
        <w:t>kvinnlig¹</w:t>
      </w:r>
      <w:r>
        <w:rPr>
          <w:b w:val="0"/>
        </w:rPr>
        <w:t xml:space="preserve">. De ha samma beting, men den legda mannen eller </w:t>
      </w:r>
      <w:r>
        <w:rPr>
          <w:b/>
        </w:rPr>
        <w:t>kvinnan¹</w:t>
      </w:r>
      <w:r>
        <w:rPr>
          <w:b w:val="0"/>
        </w:rPr>
        <w:t xml:space="preserve"> har rätt till understöd och livränta, om han eller </w:t>
      </w:r>
      <w:r>
        <w:rPr>
          <w:b/>
        </w:rPr>
        <w:t>hon²</w:t>
      </w:r>
      <w:r>
        <w:rPr>
          <w:b w:val="0"/>
        </w:rPr>
        <w:t xml:space="preserve"> blir skadad på grund av olycka i arbetet. Men om den egna sonen eller </w:t>
      </w:r>
      <w:r>
        <w:rPr>
          <w:b/>
        </w:rPr>
        <w:t>dottern²</w:t>
      </w:r>
      <w:r>
        <w:rPr>
          <w:b w:val="0"/>
        </w:rPr>
        <w:t xml:space="preserve"> träffas av en olycka, har ingendera rätt till hjälp.</w:t>
        <w:br/>
        <w:br/>
        <w:t>Nu har icke utskottet velat gå med på min framställning, utan pekat på 1928 års kommitté, som arbetar med att lösa detta problem. Jag kan inte klandra utskottet därför att det har en annan mening än jag, men jag tycker, att utskottet har tagit något snävt på detta viktiga spörsmål.</w:t>
        <w:br/>
        <w:br/>
        <w:t>Jag har, sedan denna fråga behandlades i utskottet, talat med en person, som är väl hemma i de amerikanska förhållandena, och han hade sett i en facktidning, hurusom man nu i Amerika hade gått över från frivillig försäkring till obligatorisk försäkring. När man hade den frivilliga försäkringen, översållades landet med tusentals försäkringsagenter, och man skulle ju då ha trott, att alla blevo försäkrade och att alla hade intresse av att låta försäkra sig, men det hade undan för undan visat sig, att när en olycka inträffade, så var den, som råkade ut för olycksfallet, icke försäkrad. I många fall tog man visserligen en försäkring och betalade premien en eller flera gånger, men sedan tröttnade man på det eller försummade att betala, och när olveckan inträffade var man icke längre försäkrad. Det är därför, som jag anser, att det är lika nödvändigt, att man har en obligatorisk olycksfallsförsäkring, som att vi ha en allmän folkpensionering.</w:t>
        <w:br/>
        <w:br/>
        <w:t>Ang. Detta var alltså vad gäller själva försäkringen, men för att få till stånd en gfrågasatt lösning av frågan, som skulle bli något så när rimlig, har jag samtidigt tänkt lagen Im mig, att man skulle överlåta kostnaderna helt och hållet på det allmänna. Det försäkring för Veta ju herrarna, att staten får släppa till rätt betydande summor för riksför-</w:t>
        <w:br/>
        <w:br/>
        <w:t>olycksfall i säkringsanstaltens förvaltning, under det att premierna betalas av arbetsgivar-</w:t>
        <w:br/>
        <w:br/>
        <w:t>arbete m. m. na, För att man skulle få någon rättelse och få det hela något så när skap-</w:t>
        <w:br/>
        <w:br/>
        <w:t>Det var en ledamot i utskottet — jag kan ju taga upp det redan nu, då han</w:t>
        <w:br/>
        <w:br/>
        <w:t>väl sannolikt kommer att begära ordet efteråt — som sade, att detta skulle</w:t>
        <w:br/>
        <w:br/>
        <w:t>Ju bli en ren hjälpeller understödsaktion. Jag tror emellertid, att varken den ärade ledamoten eller jag eller vem det vara månde av kammarens ledamöter kan säga, att vi icke i en eller annan form få understöd av det allmänna. Det torde den ärade ledamoten kunna begripa, att med den sociala utveckling, som försiggått 1 detta land, är det uteslutet, att någon skulle kunna säga, att han icke får något understöd, om man nu vill kalla det på det sättet. Detta behöver därför icke vara en omständighet, som gör, att man här skall gå emot saken.</w:t>
        <w:br/>
        <w:br/>
        <w:t>Det är ju för närvarande så, att olycksfallsförsäkringen är mycket omständligt ordnad i riksförsäkringsanstalten. Man måste infordra uppgifter från tusentals och åter tusentals arbetsgivare om de summor, som blivit utbetalade till arbetarna, om hur många månader eller dagar, som de varit anställda, under vilka former de arbeta o. s. v. Alla dessa uppgifter infordras i första hand för att man skall kunna utröna, hur mycket dessa människor skola ha, då de bli skadade. Det innebär ju ett kolossalt arbete. Om man gör en titt uppe på riksförsäkringsanstalten och ser de hundratals biträden, som sitta där vid skrivmaskiner och räknemaskiner, så förstår man, att det drar med sig kolossala utgifter, och det är naturligtvis nödvändigt under nu gällande förhållanden.</w:t>
        <w:br/>
        <w:br/>
        <w:t>Jag hade nu tänkt mig, att man skulle slippa ifrån detta, därest det allmänna ordnade försäkringen på så sätt, att man först tog hand om en person, när olyckan inträffat. Det enda, som vederbörande då hade att göra, vore att anmäla sig för vederbörande myndighet, som sedan skickade in anmälan till granskning i riksförsäkringsanstalten. På det sättet skulle man kunna nedbringa kostnaderna alldeles oerhört.</w:t>
        <w:br/>
        <w:br/>
        <w:t>För att belysa förhållandet och visa kammaren, att det icke är utan skäl, som jag vänt mig emot de dryga kostnaderna, skall jag be att få nämna, att bara förvaltningskostnaderna för riksförsäkringsanstalten år 1921 uppgingo till 3,069,994 kronor — det var för riksförsäkringsanstalten som sådan och de ömsesidiga bolagen. År 1922 var kostnaden 2,968,433 kronor och året därpå var den 2,645,861 kronor. Dessa dryga kostnader på förvaltningskontot komma sig därav, att, som jag nämnt, man har all denna granskning och allt detta bryderi.</w:t>
        <w:br/>
        <w:br/>
        <w:t>Nu skola icke herrarna tro, att jag är ensam om denna uppfattning. Frågan har t. o. m. blivit ventilerad i pressen. En byråchef i riksförsäkringsanstalten har skrivit en rätt lång artikel i Dagens Nyheter den 20 januari innevarande år, där han påpekar bland annat de dyrbara läkareundersökningarna. År 1918 uppgick läkarnas arvoden till 220,800 kronor, men de stego år 1930 upp till 240,000 kronor. Byråchefen i fråga anser, att denna ökning beror på, att man tog bort karenstiden. För min del anser jag, att det var ett fel, att man gjorde det. därför att nu dragas en massa småolyckor inför riksförsäkringsanstalten, som rätteligen icke borde vara med. Man borde åtminstone ha en karenstid på 14 dagar. Ingen olycka vore ju därmed skedd ty om det vid prövningen av ett fall befunnes, att vederbörande vore berättigad till ersättning, så skulle han naturligtvis få understöd från den dag, olycksfallet inträffade.</w:t>
        <w:br/>
        <w:br/>
        <w:t>Ja, nu är det naturligtvis ingenting att göra åt saken, när utskottet blivit en-+ EA hälligt om ett avslagsyrkande. Min egen reservation har ju under sådana förje av</w:t>
        <w:br/>
        <w:br/>
        <w:t>hållanden icke stor betydelse, men jag har likväl här velat relatera min tankelagen om gång för att om möjligt få den framförd till 1928 års kommitté. försäkring för För min del anser jag frågan vara så viktig, att den icke får skrinläggas utan olycksfall i måste hållas vid liv undan för undan, tills man har kommit fram till ett resularbete Tee tat. Vad jag anser vara en fara är nämligen, att även om det öppnas möjlig- (Forts) heter för en frivillig försäkring, så kommer det icke att bli en allmän försäkring, utan endast ett litet fåtal kommer att försäkra sig. Vi ha verkligen en sådan frivillig försäkring, när det gäller våra fiskare. De erlägga en liten avgift. De äro sina egna företagare. Det är nämligen så, att de arbeta kooperativt, och därför har man gjort ett undantag. Hur har det då gått i praktiken? Jo, det kan ha varit en fiskare, som fiskat ett par, tre månader och han har då varit försäkrad, men sedan, då fisket upphört, har han gått i fraktfart och blivit skadad, och han har då gått in till riksförsäkringsanstalten och begärt skadestånd, men den har måst svara, att ni är icke försäkrad, när ni icke utövar fiske. Sådana äro förhållandena. De bli olycksfallsförsäkrade en viss tid, men däremellan äro de icke försäkrade. Sådana saker måste man ha borteliminerade, och därför har jag velat bringa denna fråga på tal och har tyckt det vara på sin plats att något belysa denna sak. Nu har jag naturligtvis som sagt icke stora utsikter att nu få något resultat, men jag tillåter mig likväl, herr talman, att yrka bifall till min motion.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1887</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