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1893</w:t>
      </w:r>
    </w:p>
    <w:p>
      <w:r>
        <w:rPr>
          <w:b/>
        </w:rPr>
        <w:t xml:space="preserve">Datum: </w:t>
      </w:r>
      <w:r>
        <w:t>1931-04-18</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Edoff Andersson (Kilbomspartiet, man)</w:t>
      </w:r>
    </w:p>
    <w:p>
      <w:r>
        <w:rPr>
          <w:b w:val="0"/>
        </w:rPr>
        <w:t>Herr talman! Jag har väckt en motion, vari jag yrkar förhöjning av pensionen för tre stycken f. d. befattningshavare, vilka riksdagen i fjol beviljade pension. Herr Herou har här tidigare ställt frågan om vilka principer bankoutskottet följer, när det gäller beviljande av pensioner. Jag måste säga, att jag har funderat över samma sak. Mig förefaller det, som om det skulle gå till så, att bankoutskottet på det mest enkla sättet läte slumpen avgöra, huruvida man skall tillstyrka ett framställt yrkande om pension eller icke, d. v. s. det enkla sättet att man drager sticka därom. Till den slutsatsen måste jag komma då jag läst detta utskottsutlåtande. Jag framställde i min motion tre yrkanden. TI fråga om de två yrkanden, som utskottet avstyrkt, har jag haft den uppfattningen, att det vore rimligt och rättvist i allra högsta grad att de bleve bifallna. Beträffande det yrkande däremot, som utskottet tillmötesgått, måste jag säga, att jag hade mina funderingar om det överhuvud taget skulle vara skäl att framställa detsamma. Men utskottet har gått den alldeles motsatta vägen. Jag skall här till bevis för mitt uttalande göra några jämförelser ur utskottets eget utlåtande, som kanske kunna ge någon belysning av vad jag menar i detta sammanhang.</w:t>
        <w:br/>
        <w:br/>
        <w:t xml:space="preserve">Denna Maria Kastman, för vilken jag i första punkten yrkar på en förhöjning till 792 kronor av den </w:t>
      </w:r>
      <w:r>
        <w:rPr>
          <w:b/>
        </w:rPr>
        <w:t>henne²</w:t>
      </w:r>
      <w:r>
        <w:rPr>
          <w:b w:val="0"/>
        </w:rPr>
        <w:t xml:space="preserve"> i fjol av riksdagen på utskottets förslag beviljade pensionen 504 kronor, har 28 års anställning i statens tjänst. Om vi gå till punkt 38 i detta utlåtande, som vi tidigare behandlat, finna vi, att det där gällde beviljande av en pension på 660 kronor åt en </w:t>
      </w:r>
      <w:r>
        <w:rPr>
          <w:b/>
        </w:rPr>
        <w:t>arbeterska³</w:t>
      </w:r>
      <w:r>
        <w:rPr>
          <w:b w:val="0"/>
        </w:rPr>
        <w:t xml:space="preserve"> med 23 års anställning i statens tjänst. </w:t>
      </w:r>
      <w:r>
        <w:rPr>
          <w:b/>
        </w:rPr>
        <w:t>Hon²</w:t>
      </w:r>
      <w:r>
        <w:rPr>
          <w:b w:val="0"/>
        </w:rPr>
        <w:t xml:space="preserve"> hade alltså 5 år mindre än Maria Kastman, men </w:t>
      </w:r>
      <w:r>
        <w:rPr>
          <w:b/>
        </w:rPr>
        <w:t>hon²</w:t>
      </w:r>
      <w:r>
        <w:rPr>
          <w:b w:val="0"/>
        </w:rPr>
        <w:t xml:space="preserve"> skulle likväl få 156 kronor högre pension. Det skulle vara utomordentligt intressant att veta, vad bankoutskottets ärade ledamöter kunna lämna som motivering för att bevilja pension med så olika belopp och på det sät-</w:t>
        <w:br/>
        <w:br/>
        <w:t xml:space="preserve">tet, att den som har den längsta tjänstetiden får den minsta pensionen. Nu har bankoutskottet i sitt utlåtande bland annat anfört, att Maria Kastman har avgått från sin tjänst i så unga år, att man måste bevilja </w:t>
      </w:r>
      <w:r>
        <w:rPr>
          <w:b/>
        </w:rPr>
        <w:t>henne²</w:t>
      </w:r>
      <w:r>
        <w:rPr>
          <w:b w:val="0"/>
        </w:rPr>
        <w:t xml:space="preserve"> blott en lägre pension. Jag skulle emellertid vilja göra bankoutskottets ledamöter uppmärksamma på, att </w:t>
      </w:r>
      <w:r>
        <w:rPr>
          <w:b/>
        </w:rPr>
        <w:t>hon²</w:t>
      </w:r>
      <w:r>
        <w:rPr>
          <w:b w:val="0"/>
        </w:rPr>
        <w:t xml:space="preserve"> icke lämnat sin tjänst frivilligt utan har avskedats. </w:t>
      </w:r>
      <w:r>
        <w:rPr>
          <w:b/>
        </w:rPr>
        <w:t>Hon²</w:t>
      </w:r>
      <w:r>
        <w:rPr>
          <w:b w:val="0"/>
        </w:rPr>
        <w:t xml:space="preserve"> bestämde inte själv huru länge </w:t>
      </w:r>
      <w:r>
        <w:rPr>
          <w:b/>
        </w:rPr>
        <w:t>hon²</w:t>
      </w:r>
      <w:r>
        <w:rPr>
          <w:b w:val="0"/>
        </w:rPr>
        <w:t xml:space="preserve"> skulle stanna kvar i tjänst. Fabriksledningen har avskedat </w:t>
      </w:r>
      <w:r>
        <w:rPr>
          <w:b/>
        </w:rPr>
        <w:t>henne²</w:t>
      </w:r>
      <w:r>
        <w:rPr>
          <w:b w:val="0"/>
        </w:rPr>
        <w:t xml:space="preserve"> efter 28 år och föreslagit </w:t>
      </w:r>
      <w:r>
        <w:rPr>
          <w:b/>
        </w:rPr>
        <w:t>henne²</w:t>
      </w:r>
      <w:r>
        <w:rPr>
          <w:b w:val="0"/>
        </w:rPr>
        <w:t xml:space="preserve"> till pension. Bankoutskottet har tillmätt den pension som nämnts. Nog är det egendomligt, att bankoutskottet då kommer med ett meddelande om, att man anser icke skäl föreligga för att höja pensionen med det belopp jag föreslagit.</w:t>
        <w:br/>
        <w:br/>
        <w:t xml:space="preserve">I det andra fallet, där jag framställt yrkande, har jag gjort det därför, att det synes mig som den person, det där gäller, skulle kunna vara berättigad att få en pension av samma storlek, som 1 andra fall beviljats personer som innehaft föreståndareeller förestånderskebefattning. Vid detta pensionsärendes behandling i fjol låg det till på det sättet, att fabriksledningen hade lämnat alldeles ofullständiga och i vissa fall fullständigt oriktiga uppgifter beträffande den tjänst ifrågavarande </w:t>
      </w:r>
      <w:r>
        <w:rPr>
          <w:b/>
        </w:rPr>
        <w:t>kvinnliga¹</w:t>
      </w:r>
      <w:r>
        <w:rPr>
          <w:b w:val="0"/>
        </w:rPr>
        <w:t xml:space="preserve"> arbetare hade haft i fabriken. Dessa uppgifter lågo, så vitt jag kunnat utläsa, till grund för det lägre pensionsbeloppet. Jag har ställt yrkande om att riksdagen skall rätta till detta och ge </w:t>
      </w:r>
      <w:r>
        <w:rPr>
          <w:b/>
        </w:rPr>
        <w:t>henne²</w:t>
      </w:r>
      <w:r>
        <w:rPr>
          <w:b w:val="0"/>
        </w:rPr>
        <w:t xml:space="preserve"> en pension motsvarande den syssla </w:t>
      </w:r>
      <w:r>
        <w:rPr>
          <w:b/>
        </w:rPr>
        <w:t>hon²</w:t>
      </w:r>
      <w:r>
        <w:rPr>
          <w:b w:val="0"/>
        </w:rPr>
        <w:t xml:space="preserve"> haft vid fabriken. Utskottet säger då, att det finns icke skäl att tillmötesgå ett sådant anspråk.</w:t>
        <w:br/>
        <w:br/>
        <w:t>Beträffande slutligen det sista yrkandet, nämligen om en förhöjning av pensionen till förmannen Leijon, har, när jag sett på denna sak, icke för mig förelegat något annat skäl än att fabriksledningen givit honom ett papper med uppmaning till honom att gå i pension och vari det meddelades, att han skulle få en pension, belöpande sig till bortåt 1,500 kronor. Det visade sig sedan, att pensionen blev avsevärt mindre. Han ansåg sig därför ha blivit missledd och hemställde, att det skulle ställas förslag om en förhöjning av pensionen. Man kan alltså sätta i fråga, huruvida icke en sådan utfästelse från fabriksledningens sida är ett skäl för att bevilja en höjning av Bering. Jag ansåg emellertid, att man borde föra fram frågan till riksdagen. I detta fall kunde jag för min del icke finna något annat skäl än det avgivna löftet. Här har emellertid utskottet föreslagit en pensionsförhöjning, om också icke i den utsträckning mannen tänkt sig. Men de båda andra, bättre motiverade förslagen blevo avvisade. Det är en behandling av pensionsfrågor, som, så vitt jag ser, åtminstone icke kan stödja sig på några sakliga skäl.</w:t>
        <w:br/>
        <w:br/>
        <w:t>Jag skall nu tillåta mig att för belysande av behandlingen av dessa pensionsfrågor erinra om en annan punkt i utskottets utlåtande, som också belyser, hur man skapar en högre eller åstadkommer en lägre pension i olika fall.</w:t>
        <w:br/>
        <w:br/>
        <w:t>Vi beslöto för några minuter sedan bevilja pension åt en arbetare Skoog vid ammunitionsfabriken. Det var under punkt 32 i detta utlåtande. Hans pension var ursprungligen av statskontoret föreslagen till ett belopp av 828 kronor. Men sedan har inkommit en skrivelse från arbetsofficeren vid fabriken, vari denne intygat, »att Skoog genom sin skicklighet, noggrannhet och omsorg om sitt arbete i viss mån intagit en särställning bland ammunitionsfabrikens arbetare ävensom att hans arbete varit av stor ekonomisk betydelse för fabriken». Jag befann mig, när det gällde att bedöma denna fråga, i den omständigheten, att jag åtskilliga år arbetat vid samma fabrik och alltså känner ganska väl till, vad det är för arbete denne Skoog utfört, och jag vill säga, att det skil- Jer sig i intet avseende från det arbete, som man fordrar av arbetarna i övrigt. För en officer kan naturligtvis en fräsmaskin vara en utomordentligt konstig apparat. Men för en yrkesman är den inte alls märkvärdigare än någon annan arbetsmaskin. Vad Skoog gjort är att han betjänat en fräsmaskin under de år han varit där, och det tycker man är så konstigt, att man säger, att hans arbete</w:t>
        <w:br/>
        <w:br/>
        <w:t>varit så märkvärdigt i jämförelse med det arbete, som de andra arbetarna utföra vid fabriken. De av kammarens ledamöter, som tittat så nära på en mekanisk verkstad och särskilt dess verktygsavdelning, att de sett, vad en fräsare och en svarvare skall utföra, veta, att det fordras lika mycket yrkeskunskap av dem båda. Under sådana förhållanden måste jag säga, att detta dokument, som legat till grund för att skaffa fram ytterligare 204 kronor, d. v. s. för att höja pensionen från 828 kronor till 1,032 kronor, ingenting annat är än en ren konstruktion för att åstadkomma en pensionssumma, som eljest i allmänhet inte utgår till arbetarna. Jag missunnar inte Skoog den högre pension han fått, och därför har jag inte tagit till orda, när ärendet behandlades, ty det skulle kanske kunnat medföra, att herrarna sänkt beloppet. Men när det gäller den allmänna behandlingen av dessa angelägenheter har jag inte kunnat underlåta att rikta uppmärksamheten på vad som förekommer vid behandlingen av frågor sådana som dessa.</w:t>
        <w:br/>
        <w:br/>
        <w:t>När det gäller behandlingen av dessa pensionsfrågor skulle jag vilja rikta kammarledamöternas uppmärksamhet på, att frågan om ordnade pensionsbestämmelser för arbetarna vid försvarsväsendet och i statens tjänst i övrigt har varit under utredning omkring 20 år. Senast föreligga färdiga förslag från 1926 års pensionsutredning, som framlagt förslag till pensionsbestämmelser för dessa statens arbetare. Men de olika regeringar, som fungerat sedan dess, ha skjutit saken åt sidan, och man har tydligen för avsikt att inte taga fram den förrän någon gång 1 framtiden, när man räknat in dyrtidstilläggen i löner och pensioner. Jag kan icke se, att den omständigheten, att man nu håller på att räkna in dyrtidstilläggen 1 pensionerna, kan vara något skäl för att undanhålla statens arbetare ett ordnat pensionsväsen. Det är väl ändå uppenbart, att den tid, det tar för riksdagen varje år att behandla alla dessa olika pensionsfrågor, skulle kunna väsentligen inbesparas, om man hade en gång för alla fastställda grunder för pensioneringen av statens arbetare, så att vi sluppe ifrån detta lotteri, som behandlingen av pensionsfrågor 1 bankoutskottet och riksdagen utgör. Jag har vid ett tidigare tillfälle sagt, att mig förefaller det, som om det låg till på det sättet, att om den, som skall pensioneras, har någon inflytelserik företrädare i bankoutskottet, då finns det ganska stor utsikt för att han får pension, men har han däremot inte någon sådan företrädare och härstammar han inte från ett län, där bankoutskottets ledamöter äro valda, så är det mycket små utsikter för honom att få pension. En sådan ordning för behandlingen av dessa frågor finner jag mindre ändamålsenlig ur rättvisans och billighetens synpunkt. Jag skulle vilja rikta en hemställan till regeringen att till nästkommande riksdag föra fram denna fråga samt till riksdagens ledamöter att då verkligen gå in för ordnande av dessa pensionsbestämmelser, så att det kan bli ett slut på det godtycke, som präglar behandlingen av frågor om pensionering av statens arbetare för närvarande. Det kan inte vara god ordning att sticka till en fattig människa, som arbetat i statens tjänst, några hundra kronor, för den händelse man kan få tillräcklig sympati därför och majoritet i bankoutskottet och riksdagen, men eljest låta vederbörande draga sig fram med den hjälp, man kan få från fattigvården eller på annat sätt.</w:t>
      </w:r>
    </w:p>
    <w:p>
      <w:pPr>
        <w:pStyle w:val="Heading2"/>
      </w:pPr>
      <w:r>
        <w:t>2. Helge Bäcklund (Socialdemokraterna, man)</w:t>
      </w:r>
    </w:p>
    <w:p>
      <w:r>
        <w:rPr>
          <w:b w:val="0"/>
        </w:rPr>
        <w:t>Den ärade talaren på stockholmsbänken sade, att bankoutskottet inte har några principer. Jag vet inte, vilken gång i ordningen jag hör detta. Det är i varje fall ingenting nytt. Emellertid är det nog också på sätt och vis riktigt. Det har sina rätt stora svårigheter att på detta område få fram några verkligt hållbara principer. Klandret härför bör emellertid inte bara riktas till bankoutskottet, som ju många gånger måste behandla frågorna ganska fort och inte har möjlighet att tränga fullständigt in i saken utan måste lita på yttrandena från vederbörande myndigheter. Om bankoutskottet</w:t>
        <w:br/>
        <w:br/>
        <w:t>anser sig böra lita mest på myndigheterna eller mest på herr Andersson, det är ju en omdömessak. Jag vet inte, vilketdera som är det riktigaste. För min del varierar jag en smula. Ibland tror jag mest på herr Andersson och mindre på myndigheterna, och ibland tror jag mest på myndigheterna och mindre på herr Andersson. Det är alltså en liten variation, som kanske inte kan skada. Ty det är väl inte alldeles säkert, att herr Andersson har rätt vid varje tillfälle, utan myndigheterna kunna ju också ha rätt. Bankoutskottet får ju lov att pröva Kungl. Maj:ts förslag, sådana de föreligga, och det är ju klart, att bankoutskottet inte har samma apparat till sitt förfogande som Kungl. Maj:t har. Dessa ärenden gå ju från den ena myndigheten till den andra och hamna slutligen hos Kungl. Maj:t, som tar ställning till dem och eventuellt framlägger förslag till riksdagen. Det måste då finnas rätt starka skäl, för att bankoutskottet skall kunna gå emot Kungl. Maj:t, som har haft utredningsapparaten 1 sin hand. När det gäller enskilda motioner, är naturligtvis bankoutskottet, i likhet med övriga riksdagens utskott, mera tveksamt. Det är kanske då inte alltid tillfälle att få den allsidiga prövning från vederbörande myndigheter, som kan erfordras, för att man skall kunna lämna ett fullgiltigt omdöme om saken, ett omdöme, som står sig under alla förhållanden. Och, som sagt, jag erkänner, att ifråga om principerna brister det nog ibland.</w:t>
        <w:br/>
        <w:br/>
        <w:t>Jag kan härefter övergå till vad herr Andersson sist talade om, nämligen det elände vi ha med dessa pensionshistorier i riksdagen. Men det är inte bankoutskottets fel, ty bankoutskottet har gång på gång skrivit och begärt, att Kungl. Maj:t skall framlägga förslag till ordnade förhållanden för dessa grupper, som inte ha sina pensioner bestämda. Men det hjälper inte. Kungl. Maj:t skjuter undan denna fråga år efter år och pekar på lönefrågan och alla möjliga skäl för att komma ifrån saken. Jag anser, att Kungl. Maj:ts ståndpunkt i detta avseende icke är stark. Det må vara denna regering eller någon annan, som hävdar den meningen, det spelar ingen roll: ståndpunkten är icke stark. Det skulle mycket väl gå att utan hänsyn till lönefrågan ordna pensionsfrågan på samma sätt, som den redan är ordnad för alla övriga. Man fick taga hänsyn till att dyrtidstillägg utgår. Det skulle inte vara konstigare i dessa fall att sedan räkna in dyrtidstilläggen i pensionerna, när den dagen kommer, än 1 fråga om de pensioner, som redan äro fastställda. Jag anser därför, att detta skäl, som anföres från Kungl. Maj:ts sida, är ett de obotfärdigas förhinder.</w:t>
        <w:br/>
        <w:br/>
        <w:t xml:space="preserve">Att riktigt tillfredsställa herr Andersson är väl emellertid nästan omöjligt. Han drog upp sina fall. Beträffande fallet Kastman har jag ansett, att den pension, som tillerkänts </w:t>
      </w:r>
      <w:r>
        <w:rPr>
          <w:b/>
        </w:rPr>
        <w:t>henne²</w:t>
      </w:r>
      <w:r>
        <w:rPr>
          <w:b w:val="0"/>
        </w:rPr>
        <w:t xml:space="preserve">, var för liten, trots att </w:t>
      </w:r>
      <w:r>
        <w:rPr>
          <w:b/>
        </w:rPr>
        <w:t>hon²</w:t>
      </w:r>
      <w:r>
        <w:rPr>
          <w:b w:val="0"/>
        </w:rPr>
        <w:t xml:space="preserve"> avgått så tidigt som vid 43 års ålder. Och om utskottet hade hävdat den meningen, att pensionsbeloppet hade tillmätts med hänsyn till att </w:t>
      </w:r>
      <w:r>
        <w:rPr>
          <w:b/>
        </w:rPr>
        <w:t>hennes²</w:t>
      </w:r>
      <w:r>
        <w:rPr>
          <w:b w:val="0"/>
        </w:rPr>
        <w:t xml:space="preserve"> man hade haft så och så stor inkomst, så skulle jag ha reserverat mig. Men när utskottet inte hävdat den meningen utan säger, att pensionen bestämts, utan att man tagit hänsyn till mannens inkomst. så ansåg jag, att jag inte kunde reservera mig i detta fall. Herr Andersson klandrar även, när utskottet går in för en förhöjning, såsom det gör beträffande det ena av yrkandena i hans motion, nämligen i fallet Lei- Jon. Jag tycker att utskottet, tack vare att Kungl. Maj:t i sin proposition beträffande ett annat fall föreslagit just det ifrågavarande beloppet, handlat riktigt, då det kommit till det resultatet, att Leijon fått för liten pension och därför något höjt densamma. Därvidlag har utskottet i alla fall, tycker jag, i någon mån försökt hävda en princip. Men herr Andersson klandrar utskottet 1 alla fall, och han drar fram en annan person, som fått litet mer. Men fallen kanske inte äro fullt jämförliga, om man granskar dem litet närmare.</w:t>
        <w:br/>
        <w:br/>
        <w:t>Jag ber, herr talman, att få yrka bifall till utskottets hemställan i förevarande punkt.</w:t>
      </w:r>
    </w:p>
    <w:p>
      <w:pPr>
        <w:pStyle w:val="Heading2"/>
      </w:pPr>
      <w:r>
        <w:t>3. Edoff Andersson (Kilbomspartiet, man)</w:t>
      </w:r>
    </w:p>
    <w:p>
      <w:r>
        <w:rPr>
          <w:b w:val="0"/>
        </w:rPr>
        <w:t>Ja, herr Bäcklund säger, att han ibland tror på Kungl. Maj:t och ibland på vad jag säger, och att han finner det klokt att variera. Jag måste säga, att det förefaller vara samma princip, som följes i bankoutskottet, alltså att man varierar något, även om man inte har några skäl för denna variation. Är det så, att herr Bäcklund funnit, att Kungl. Maj:t någon gång har orätt, då har herr Bäcklund också uppenbarligen skäl att tvivla på Kungl. Maj:ts ord. Är det så, att han funnit, att jag någon gång, när det gällt dessa pensionsfrågor, kommit med oriktiga uppgifter, så skulle han också ha skäl att tvivla. Men till dess kunde ju herr Bäcklund låta bli att tvivla på de uppgifter, som lämnas från min sida. Att Kungl. Maj:t kommit med oriktiga uppgifter, har jag alldeles nyss bevisat, och det bevisades redan i fjol, då jag måste lämna bankoutskottet upplysningar för att korrigera vad som sagts i Kungl. Maj:ts proposition beträffande anställningstid och dylikt för dem det där gällde.</w:t>
        <w:br/>
        <w:br/>
        <w:t>När det sedan gäller frågan om ett ordnande av dessa pensionsbestämmelser, så säger herr Bäcklund, att det inte är bankoutskottets fel, att den saken inte är ordnad, ty utskottet har flera gånger uttalat sig för att frågan om pensionsbestämmelser för statens arbetare skulle lösas. Ja, det är riktigt, att utskottet det gjort. Jag föreslog emellertid i fjol, att man skulle fastställa förtidspensionsbestämmelser att gälla för arbetare i försvarsväsendets tjänst, till dess frågan blivit ordnad, alltså till dess man fick igenom slutliga pensionsbestämmelser. Men på det förslaget yrkade bankoutskottet enhälligt avslag med den motiveringen, att dessa bestämmelser voro avsedda för helt andra ändamål. Hade man emellertid beträtt den väg, jag då föreslog, så hade det ändå varit vissa grunder för pensioneringen av dessa arbetare fastställda, och man hade åtminstone kunnat tillämpa dem, till dess Kungl. Maj:t blivit färdig med förslag angående ordnade pensionsbestämmelser för befattningshavare i allmänhet. Jag tror, att det hade varit en förnuftig ordning, men den saken har även bankoutskottet varit med om att motarbeta.</w:t>
        <w:br/>
        <w:br/>
        <w:t xml:space="preserve">När herr Bäcklund säger, att utskottet som skäl för sitt avslagsyrkande haft den omständigheten, att pensionsbeloppet i fjol inte bestämdes med hänsyn till den inkomst, som mannen hade, så måste jag säga, att den förklaringen från utskottets sida verkar åtminstone på mig inte alldeles sanningsenlig, ty när det gäller de båda läkarintyg, som åberopats i de fall, jag talat om, så äro de ungefär lika. Den omständigheten, att en </w:t>
      </w:r>
      <w:r>
        <w:rPr>
          <w:b/>
        </w:rPr>
        <w:t>arbeterska³</w:t>
      </w:r>
      <w:r>
        <w:rPr>
          <w:b w:val="0"/>
        </w:rPr>
        <w:t xml:space="preserve"> efter 28 års anställning har så nedsatt arbetsförmåga, att </w:t>
      </w:r>
      <w:r>
        <w:rPr>
          <w:b/>
        </w:rPr>
        <w:t>hon²</w:t>
      </w:r>
      <w:r>
        <w:rPr>
          <w:b w:val="0"/>
        </w:rPr>
        <w:t xml:space="preserve"> måste avskedas vid 43 års ålder, borde väl i och för sig inte utgöra något skäl att sätta pensionen lägre, utan den borde väl sättas så, att </w:t>
      </w:r>
      <w:r>
        <w:rPr>
          <w:b/>
        </w:rPr>
        <w:t>hon²</w:t>
      </w:r>
      <w:r>
        <w:rPr>
          <w:b w:val="0"/>
        </w:rPr>
        <w:t xml:space="preserve">, fast </w:t>
      </w:r>
      <w:r>
        <w:rPr>
          <w:b/>
        </w:rPr>
        <w:t>hon²</w:t>
      </w:r>
      <w:r>
        <w:rPr>
          <w:b w:val="0"/>
        </w:rPr>
        <w:t xml:space="preserve"> bara är 43 år, skall ha möjlighet att leva på pensionen under den återstående tiden, och det lär </w:t>
      </w:r>
      <w:r>
        <w:rPr>
          <w:b/>
        </w:rPr>
        <w:t>hon²</w:t>
      </w:r>
      <w:r>
        <w:rPr>
          <w:b w:val="0"/>
        </w:rPr>
        <w:t xml:space="preserve"> väl icke ha möjlighet till, ens om </w:t>
      </w:r>
      <w:r>
        <w:rPr>
          <w:b/>
        </w:rPr>
        <w:t>hon²</w:t>
      </w:r>
      <w:r>
        <w:rPr>
          <w:b w:val="0"/>
        </w:rPr>
        <w:t xml:space="preserve"> får 792 kronor. Utskottet har emellertid enligt min mening gått fram med en annan argumentering än den, som gällde i fjol, och på det sättet försökt komma ifrån ett tillstyrkande av det rättvisa kravet om höjning av pensionerna. För att kammarens ledamöter skola få klart för sig, vilken ordning som gäller på detta område, vill jag rikta uppmärksamheten på, att för flottans arbetare finnas pensionsbestämmelser fastställda, ehuru de visserligen icke äro tillfredsställande ifråga om beloppen. Om en arbetare arbetat vid flottans varv i 25 år, finnes det bestämmelser rörande hans pension, men om han arbetat vid kustartilleriet, alltså även då under marinförvaltningen, måste man gå till riksdagen, och frågan, om han skall få pension, skall behandlas här. Samma är förhållandet med arbetarna 1 armén. För dem, som äro anställda vid arméns verkstäder, skall riksdagen besluta i sådana fall, men för varvsarbetarna gälla särskilda bestämmelser. Det är, som om de ej voro an-</w:t>
        <w:br/>
        <w:br/>
        <w:t>ställda i samma land, när man ser på den ordning, som här gäller. Och om det finnes någon mening med det utredningsarbete, som bedrives i dessa frågor, skulle det väl vara möjligt för regeringen att »forcera» fram en sådan sak, så att ett förslag efter ett 20-tal års utredning kunde läggas fram, och man kunde lägga fram grunder för pensionering av statens arbetare liksom för andra personer i statens tjänst. Jag säger det därför, att vi ha från de sammanslutningars sida, som representera dessa arbetare, vänt oss till regeringen med begäran om åtgärder för att få fram frågan till nästa år. När jag påtalat saken här, har jag gjort det med stöd av de exempel, som kunna anföras ur bankoutskottets betänkande, där man som vid ett fullständigt lotteri delar ut pensioner, och där frågan om pensionsbeloppen avgöres utan principer, så att man låter slumpen ensam vara utslagsgivande, då det gäller, hur stor pension en arbetare skall få.</w:t>
        <w:br/>
        <w:br/>
        <w:t>För att få en annan ordning än denna har jag riktat en hemställan, att man skall se till, att frågan kommer till avgörande nästa år, och att det då blir en bättre ordning.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1893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