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1925</w:t>
      </w:r>
    </w:p>
    <w:p>
      <w:r>
        <w:rPr>
          <w:b/>
        </w:rPr>
        <w:t xml:space="preserve">Datum: </w:t>
      </w:r>
      <w:r>
        <w:t>1932-03-03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Adolv Olsson (Socialdemokraterna, man)</w:t>
      </w:r>
    </w:p>
    <w:p>
      <w:r>
        <w:rPr>
          <w:b w:val="0"/>
        </w:rPr>
        <w:t>Herr talman! Jag sätter mycket stort värde på den varning, som herr Jansson i Falun uttalade. Jag skulle också ha följt den, om det icke vore så, att jag genom ett mycket omfattande utredningsarbete, i vilket jag deltagit de sista tre åren, kommit till den bestämda uppfattningen, att utskottet felaktigt bedömer vad meningen är med den verksamhet det här är fråga om. Såvitt jag kan fatta, föreligger icke i alla kommuner i detta land något behov av ett sådant statligt stöd, ty det finnes nyktra, mindre nyktra och ännu mindre nyktra kommuner. Där det icke finnes någon anledning till</w:t>
        <w:br/>
        <w:br/>
        <w:t xml:space="preserve">ingripande i en kommun, där finnes det icke anledning att vare sig anställa Ang. en särskilt utbildad personal för ändamålet eller att lämna något statsanslag främjande av för detsamma. Men det är där, varest det finnes skäl för ett ingripande, som nykterheta det bör ligga i Kungl. Maj:ts hand — och detta sker ju efter särskild ompröv- "verksamhet ning — att ge kommunerna den möjligheten att verkligen kunna göra något, m.m. där det behöver göras. (Forts.) Jag vill erinra </w:t>
      </w:r>
      <w:r>
        <w:rPr>
          <w:b/>
        </w:rPr>
        <w:t>damerna²</w:t>
      </w:r>
      <w:r>
        <w:rPr>
          <w:b w:val="0"/>
        </w:rPr>
        <w:t xml:space="preserve"> och herrarna om en sak, varom vi väl alla äro tämligen överens, nämligen att det i fråga om nykterhetsnämndernas verksamhet brister på åtskilliga punkter. Den saken har varit föremål både för enskild och offentlig debatt, och jag skall icke sysselsätta mig med densamma här i dag. Men varför brister det? Jo, det sker i flera fall därför, att man till sitt förfogande ieke har de krafter, som skulle vara önskvärda, krafter med den sociala vidsyn, som är nödvändig för att verkligen kunna utföra ett fruktbärande arbete på området. Om man hade folk till sitt förfogande med denna sociala vidsynthet, med kunskap om alla de förhållanden, som inverka på saken, så skulle man utan tvivel kunna komma väsentligt längre, än vad man för närvarande gör. Huvudsyftet med vad Kungl. Maj:t föreslagit är enligt min uppfattning, att man skulle i de kommuner, där det är särskilt nödvändigt, där det förekommer många olagligheter i den här vägen och där man således behöver ett omfattande arbete, försöka anförtro detta arbete icke direkt åt de kommunvalda förtroendemännen — dessa förtroendemän ha ju icke tid att ägna sig åt denna verksamhet — utan åt särskilt utbildade krafter. Men jag understryker, att så skulle ske endast där det föreligger behov av arbete, således icke i varje kommun, vare sig behov föreligger eller icke. Nu finnes det en eller annan kommun, som själv löst frågan. Stockholms stadsfullmäktige har för sin del löst den, och i Stockholm bedrives det ju på detta område en mycket framgångsrik verksamhet. | Men jag vill för min del starkt understryka, att det här gäller en statlig uppgift. Staten har genom indragning av alla medel till statskassan direkt sagt ifrån att detta är en statlig uppgift. Då det nu, nästan utan opposition, går an att använda mera och mera och mera miljoner av dessa medel för att täcka statens löpande utgifter, förefaller det mig, som om tidpunkten icke vore inne att på ett område sådant som detta handla på sätt, som statsutskottet här föreslår, att man skall gå in för. Med anledning av dessa synpunkter hemställer jag, herr talman, om bifall till Kungl. Maj:ts förslag.</w:t>
      </w:r>
    </w:p>
    <w:p>
      <w:pPr>
        <w:pStyle w:val="Heading2"/>
      </w:pPr>
      <w:r>
        <w:t>2. Samuel Hedlund (Jordbrukarnas fria grupp, man)</w:t>
      </w:r>
    </w:p>
    <w:p>
      <w:r>
        <w:rPr>
          <w:b w:val="0"/>
        </w:rPr>
        <w:t>Herr talman! Jag begärde ordet för att bekräfta riktigheten av den uppgift, som herr Olsson i Gävle och herr statsrådet här lämnat.</w:t>
        <w:br/>
        <w:br/>
        <w:t>En av mina tjänsteuppgifter som fattigvårdskonsulent är att se till, i vilken mån kommunerna effektuera gällande alkoholistvårdslagstiftning. Jag har under mina resor tidigare konstaterat, att denna lagstiftning existerar endast på papperet. Kommunerna ha icke sökt levandegöra denna lagstiftning och det är mest beroende på att kommunerna saknat ekonomiska resurser att förverkliga syftet med lagstiftningen i fråga.</w:t>
        <w:br/>
        <w:br/>
        <w:t>Det är så riktigt, som herr Olsson i Gävle säger, att behov av denna alkoholistvård icke förekommer i alla kommuner. I avlägsna småkommuner möter man knappast alkoholismen, men i de större kommunerna, det försäkrar jag herrarna, är behovet av alkoholistvård mycket större än herrarna ana. En av orsakerna till att vi hittills icke lyckats levandegöra lagstiftningen beror därpå, att kommunerna icke varit hågade att offra pengar på nykterhetsnämndernas verksamhet. Det är då, synes det mig, ett starkt både kommunalt och statligt</w:t>
        <w:br/>
        <w:br/>
        <w:t>intresse att lämna de kommuner, som ha behov av att bedriva alkoholistvård, så TEESE pengar som möjligt, för att de skola kunna bedriva en dylik verksamhet.</w:t>
        <w:br/>
        <w:br/>
        <w:t>Den maximering av statsbidraget till alkoholistvården, som föreslås, innebär, att verksamheten fortfarande kommer att bedrivas mest i de samhällen, där alkoholistvård behöves men pengar saknas. Medlen komma i stället att gå till andra uppgifter än dem, som jag här talat om, till propaganda eller dylikt, som är mindre viktigt. Vill man, säger jag, komma kommunerna till hjälp och sätta liv i alkoholistvårdslagstiftningen, får man lov att offra pengar och då bör man givetvis giva de kommuner, där man har behov av alkoholistvård, mesta möjliga bidrag. Alla andra böra avstå sin andel av beloppet. Det är därför, herr talman, som jag yrkar bifall till reservationen.</w:t>
      </w:r>
    </w:p>
    <w:p>
      <w:pPr>
        <w:pStyle w:val="Heading2"/>
      </w:pPr>
      <w:r>
        <w:t>3. Karl Andersson (Socialdemokraterna, man)</w:t>
      </w:r>
    </w:p>
    <w:p>
      <w:r>
        <w:rPr>
          <w:b w:val="0"/>
        </w:rPr>
        <w:t>Herr talman! När jag dristat mig att begära ordet i denna fråga, så är det icke så mycket för att tvista om huruvida utskottet eller Kungl. Maj:t har rätt, utan för att leda in debatten på en annan punkt, som enligt mitt sätt att se är den vitala i hela den verksamhet, varom nu är fråga.</w:t>
        <w:br/>
        <w:br/>
        <w:t>Herr Adolf Olsson i Gävle har nyss varit uppe och med den patos, som alltid är honom egen, talat om att utskottet har felbedömt hela den här situationen, då utskottet gått in för andra grunder, än vad Kungl. Maj:t har föreslagit. Jag håller med honom om att det är riktigt i så måtto, att nykterhetsfolket här i landet alltid felbedömt sin uppgift i fråga om den här verksamheten. Jag känner också till den här saken en smula. För nykterhetsfolket ha nykterhetsnämnderna varit ett stycke smutsigt hantverk. Man har alltid till andra socialt tänkande människor i samhället, som ha velat få in duktigt nykterhetsfolk i nämnderna för: att tillsammans med andra socialt ansvarsfulla individer hjälpa till att reda upp den här saken, sagt: nej, bevare oss för det, det skola vi icke befatta oss med. Det få de, som icke äro absolutister, de, som äro supare, ta hand om. Vi ska icke ett dugg syssla med det arbetet. Därför har nykterhetsnämndernas verksamhet blivit av den arten, att den på många platser icke betytt ett smack. Det fanns t. o. m. en tid, då nykterhetssällskap i landet, stora sällskap, blockerade nykterhetsnämnderna för att icke några av sällskapens ledamöter skulle få gå in i nykterhetsnämnden. Det kallades för social vidsynthet. Jag reagerade den tiden, det lilla jag kunde, mot detta, med resultat, att jag fick epitetet, att jag gick rusdrycksintressenternas ärenden. Rätt skall vara rätt. :</w:t>
        <w:br/>
        <w:br/>
        <w:t xml:space="preserve">När nu nykterhetsfolket vaknar till insikt om att nykterhetsnämnderna ha en betydelsefull uppgift att fylla, ja, då kommer man och anropar Konungen om pengar, ty pengar skall man ha, redan innan man själv är på det klara med, om man vill göra någonting. Jag tycker för min personliga del, att det allra viktigaste är, att nykterhetsfolket mobiliserar alla sina socialt ansvarskännande män och </w:t>
      </w:r>
      <w:r>
        <w:rPr>
          <w:b/>
        </w:rPr>
        <w:t>kvinnor¹</w:t>
      </w:r>
      <w:r>
        <w:rPr>
          <w:b w:val="0"/>
        </w:rPr>
        <w:t xml:space="preserve"> 1 bygderna och låter dem gå in i nykterhetsnämnderna för att se till att dessa bedriva den verksamhet, som man avsett. Sedan är det icke så betydelsefullt, om nykterhetsnämnderna få ettusen, ettusenfemhundra eller tvåtusen kronor för sin verksamhet.</w:t>
        <w:br/>
        <w:br/>
        <w:t>Jag delar fullt den uppfattningen, som utskottets talesman här fört fram, att utskottets linje är den riktiga. Därför talar också en annan synpunkt, som vi icke skola förglömma, och det är den, att om riksdagens båda kamrar nu bifalla Kungl. Maj:ts förslag, så kan därav följa — herr statsrådet var för en liten stund sedan inne på den tankegången — att man i stora kommuner kanske tillsätter nya tjänster för den här uppgiften. Nästa år, kanske även året därpå, komma vi måhända att, med eller emot vår vilja, få skära ner dessa</w:t>
        <w:br/>
        <w:br/>
        <w:t>anslag. Då är det litet besvärligt att just ha nya tjänster tillsatta. Det är Ang.</w:t>
        <w:br/>
        <w:br/>
        <w:t>också en synpunkt, som vi icke skola glömma i detta ögonblick. främjande av Herr talman, med dessa ord ber jag för min del att fullt få ansluta mig till nämndernas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1925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