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1937</w:t>
      </w:r>
    </w:p>
    <w:p>
      <w:r>
        <w:rPr>
          <w:b/>
        </w:rPr>
        <w:t xml:space="preserve">Datum: </w:t>
      </w:r>
      <w:r>
        <w:t>1932-04-30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Wilhelm Oskar Höglund (Socialdemokraterna, man)</w:t>
      </w:r>
    </w:p>
    <w:p>
      <w:r>
        <w:rPr>
          <w:b w:val="0"/>
        </w:rPr>
        <w:t xml:space="preserve">Herr talman! Det är knutet en reservation till denna punkt, avgiven av herrar Johansson i Östersund, Bäcklund och undertecknad, om utökning av den föreslagna pensionen för en av de </w:t>
      </w:r>
      <w:r>
        <w:rPr>
          <w:b/>
        </w:rPr>
        <w:t>kvinnor¹</w:t>
      </w:r>
      <w:r>
        <w:rPr>
          <w:b w:val="0"/>
        </w:rPr>
        <w:t xml:space="preserve">, som här äro i fråga. Det är dock, herr talman, inga nya vägar vi här beträda. Redan förut ha personer i precis samma ställning erhållit just 720 kronor, och arméförvaltningens intendentsdepartement säger att i fråga om </w:t>
      </w:r>
      <w:r>
        <w:rPr>
          <w:b/>
        </w:rPr>
        <w:t>änkan²</w:t>
      </w:r>
      <w:r>
        <w:rPr>
          <w:b w:val="0"/>
        </w:rPr>
        <w:t xml:space="preserve"> Bergqvist borde det — enär </w:t>
      </w:r>
      <w:r>
        <w:rPr>
          <w:b/>
        </w:rPr>
        <w:t>hennes²</w:t>
      </w:r>
      <w:r>
        <w:rPr>
          <w:b w:val="0"/>
        </w:rPr>
        <w:t xml:space="preserve"> anställningstid i statens tjänst den 28 april 1932 kom upp till 20 år — »fastställas ett grundbelopp av 350 kronor om året». Det skulle alltså betyda, att om utskottet följt arméförvaltningens intendentsdepartements förslag, skulle </w:t>
      </w:r>
      <w:r>
        <w:rPr>
          <w:b/>
        </w:rPr>
        <w:t>hon²</w:t>
      </w:r>
      <w:r>
        <w:rPr>
          <w:b w:val="0"/>
        </w:rPr>
        <w:t xml:space="preserve"> fått 732 kronor i understöd. Reservanterna begära nu, att </w:t>
      </w:r>
      <w:r>
        <w:rPr>
          <w:b/>
        </w:rPr>
        <w:t>hon²</w:t>
      </w:r>
      <w:r>
        <w:rPr>
          <w:b w:val="0"/>
        </w:rPr>
        <w:t xml:space="preserve"> skulle få 720 kronor.</w:t>
        <w:br/>
        <w:br/>
        <w:t xml:space="preserve">Vi ha då gjort vissa jämförelser och funnit, att icke mindre än två </w:t>
      </w:r>
      <w:r>
        <w:rPr>
          <w:b/>
        </w:rPr>
        <w:t>kokerskor³</w:t>
      </w:r>
      <w:r>
        <w:rPr>
          <w:b w:val="0"/>
        </w:rPr>
        <w:t xml:space="preserve"> år 1930 erhållit sådan pension. Det var </w:t>
      </w:r>
      <w:r>
        <w:rPr>
          <w:b/>
        </w:rPr>
        <w:t>kokerskan³</w:t>
      </w:r>
      <w:r>
        <w:rPr>
          <w:b w:val="0"/>
        </w:rPr>
        <w:t xml:space="preserve"> vid Jönköping-Kalmar regemente Augusta Jonsson med 20 tjänsteår, som på Kungl. Maj:ts förslag i proposition nr 57 år 1930 erhållit 720 kronor, och det var </w:t>
      </w:r>
      <w:r>
        <w:rPr>
          <w:b/>
        </w:rPr>
        <w:t>kokerskan³</w:t>
      </w:r>
      <w:r>
        <w:rPr>
          <w:b w:val="0"/>
        </w:rPr>
        <w:t xml:space="preserve"> vid intendenturkompaniet å Karlsborg Hilda Björling, som likaledes på Kungl. Maj:ts förslag fått 720 kronor. Och intendentsdepartementet säger också i sin redogörelse för denna tvätterska Bergqvist, att </w:t>
      </w:r>
      <w:r>
        <w:rPr>
          <w:b/>
        </w:rPr>
        <w:t>hon²</w:t>
      </w:r>
      <w:r>
        <w:rPr>
          <w:b w:val="0"/>
        </w:rPr>
        <w:t xml:space="preserve"> måst sluta på grund av sjukdom, och av vad som framgår torde det inte vara omöjligt, att denna sjukdom åsamkats just under </w:t>
      </w:r>
      <w:r>
        <w:rPr>
          <w:b/>
        </w:rPr>
        <w:t>hennes²</w:t>
      </w:r>
      <w:r>
        <w:rPr>
          <w:b w:val="0"/>
        </w:rPr>
        <w:t xml:space="preserve"> tjänst.</w:t>
        <w:br/>
        <w:br/>
        <w:t>Ja, jag skall icke längre upptaga tiden. Jag vill bara vädja till kammaren, att när dylika skäl och ömmande omständigheter verkligen föreligga, låta sitt goda hjärta tala och sålunda bevilja denna tvätterska 60 kronor utöver det föreslagna beloppet, sålunda 720 kronor. Till denna reservation ber jag, herr talman, att få yrka bifall.</w:t>
      </w:r>
    </w:p>
    <w:p>
      <w:pPr>
        <w:pStyle w:val="Heading2"/>
      </w:pPr>
      <w:r>
        <w:t>2. Nils Winkler (–, man)</w:t>
      </w:r>
    </w:p>
    <w:p>
      <w:r>
        <w:rPr>
          <w:b w:val="0"/>
        </w:rPr>
        <w:t>Herr talman! Jag skall be att få yrka bifall till utskottets hemställan. Detta är ett ärende, som vi noga undersökt, när vi hade det uppe till behandling. Men det är rätt lång tid tillbaka.</w:t>
        <w:br/>
        <w:br/>
        <w:t>Nu säger herr Höglund »</w:t>
      </w:r>
      <w:r>
        <w:rPr>
          <w:b/>
        </w:rPr>
        <w:t>kokerskan³</w:t>
      </w:r>
      <w:r>
        <w:rPr>
          <w:b w:val="0"/>
        </w:rPr>
        <w:t>» och »</w:t>
      </w:r>
      <w:r>
        <w:rPr>
          <w:b/>
        </w:rPr>
        <w:t>kokerskan³</w:t>
      </w:r>
      <w:r>
        <w:rPr>
          <w:b w:val="0"/>
        </w:rPr>
        <w:t xml:space="preserve">», men det är ingen </w:t>
      </w:r>
      <w:r>
        <w:rPr>
          <w:b/>
        </w:rPr>
        <w:t>kokerska³</w:t>
      </w:r>
      <w:r>
        <w:rPr>
          <w:b w:val="0"/>
        </w:rPr>
        <w:t xml:space="preserve">, det här gäller, det är en tvätterska, och till tvätterskor har, såvitt jag vet, aldrig utgått högre belopp än 660 kronor. Det ansågs från statskontorets sida tvivelaktigt, huruvida något understöd alls borde beviljas, då </w:t>
      </w:r>
      <w:r>
        <w:rPr>
          <w:b/>
        </w:rPr>
        <w:t>hon²</w:t>
      </w:r>
      <w:r>
        <w:rPr>
          <w:b w:val="0"/>
        </w:rPr>
        <w:t xml:space="preserve"> icke varit anställd mer än 20 år och var ungefär 50 år gammal, då </w:t>
      </w:r>
      <w:r>
        <w:rPr>
          <w:b/>
        </w:rPr>
        <w:t>hon²</w:t>
      </w:r>
      <w:r>
        <w:rPr>
          <w:b w:val="0"/>
        </w:rPr>
        <w:t xml:space="preserve"> kom</w:t>
        <w:br/>
        <w:br/>
        <w:t xml:space="preserve">in i statens tjänst. Jag försäkrar, att det angående understödsbeloppen finnes Ang. pension vissa nyanser mellan sådana </w:t>
      </w:r>
      <w:r>
        <w:rPr>
          <w:b/>
        </w:rPr>
        <w:t>kvinnor¹</w:t>
      </w:r>
      <w:r>
        <w:rPr>
          <w:b w:val="0"/>
        </w:rPr>
        <w:t xml:space="preserve"> som dessa. En </w:t>
      </w:r>
      <w:r>
        <w:rPr>
          <w:b/>
        </w:rPr>
        <w:t>kokerska³</w:t>
      </w:r>
      <w:r>
        <w:rPr>
          <w:b w:val="0"/>
        </w:rPr>
        <w:t xml:space="preserve"> brukar få 720 åt tvätterskan kronor men en tvätterska brukar, herr Höglund, icke få mer än 660 kronor. Br. Bergqose Jag hemställer i alla fall om bifall till utskottets hemställan, ty om vi ge arbetaren K. tvätterskorna 720 kronor, kommer det att medföra förhöjda understöd åt ko- E. Lindersson. kerskorna, ty de böra ju få något mer än tvätterskorna. Jag hemställer, att (Forts.)</w:t>
        <w:br/>
        <w:br/>
        <w:t>vi följa den praxis, som hittills tillämpats i bankoutskottet.</w:t>
      </w:r>
    </w:p>
    <w:p>
      <w:pPr>
        <w:pStyle w:val="Heading2"/>
      </w:pPr>
      <w:r>
        <w:t>3. Carl Wilhelm Oskar Höglund (Socialdemokraterna, man)</w:t>
      </w:r>
    </w:p>
    <w:p>
      <w:r>
        <w:rPr>
          <w:b w:val="0"/>
        </w:rPr>
        <w:t xml:space="preserve">Herr talman! Jag ber om undseende. Det är verkligen sant, som herr Winkler säger, att det är en tvätterska, det gäller. Men jag anser för min del att dessa båda slag av anställningar borde kunna bliva betraktade ungefär som likartade. Jag tycker, att en tvätterska gör lika stort skäl för sig som en </w:t>
      </w:r>
      <w:r>
        <w:rPr>
          <w:b/>
        </w:rPr>
        <w:t>kokerska³</w:t>
      </w:r>
      <w:r>
        <w:rPr>
          <w:b w:val="0"/>
        </w:rPr>
        <w:t xml:space="preserve">, och under sådana förhållanden bör </w:t>
      </w:r>
      <w:r>
        <w:rPr>
          <w:b/>
        </w:rPr>
        <w:t>hon²</w:t>
      </w:r>
      <w:r>
        <w:rPr>
          <w:b w:val="0"/>
        </w:rPr>
        <w:t xml:space="preserve"> ha rätt att erhålla ungefär samma förmåner.</w:t>
        <w:br/>
        <w:br/>
        <w:t>Jag ber som sagt att få ändra, det jag sade. Det gäller en tvätterska. Men oaktat detta bibehåller jag fortfarande min uppfattning om, att man bör bifalla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1937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