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2002</w:t>
      </w:r>
    </w:p>
    <w:p>
      <w:r>
        <w:rPr>
          <w:b/>
        </w:rPr>
        <w:t xml:space="preserve">Datum: </w:t>
      </w:r>
      <w:r>
        <w:t>1934-05-02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Agda Östlund (Socialdemokraterna, woman)</w:t>
      </w:r>
    </w:p>
    <w:p>
      <w:r>
        <w:rPr>
          <w:b w:val="0"/>
        </w:rPr>
        <w:t>Herr förste vice talman! Eftersom det har uppstått diskussion om vad motionen och detta yrkande från andra lagutskottet kunna innebära, så skall jag i sanningens intresse be att få relatera ett par fall, för att belysa förhållandena som de äro. Jag skulle för övrigt mycket väl ha kunnat stå som motionär i denna fråga, och det var bara en händelse, som gjorde, att jag inte kom att göra det.</w:t>
        <w:br/>
        <w:br/>
        <w:t>När jag yttrar några ord här, så är det inte alls i den tanken, att fattigvårdsstyrelserna icke skulle följa de föreskrifter, som finnas. Men detta hindrar väl inte, att de lagar, som finnas, kunna verka inhumant, även om detta icke varit meningen från fattigvårdsstyrelsernas sida.</w:t>
        <w:br/>
        <w:br/>
        <w:t xml:space="preserve">Jag känner till ett fall, där </w:t>
      </w:r>
      <w:r>
        <w:rPr>
          <w:b/>
        </w:rPr>
        <w:t>hustrun²</w:t>
      </w:r>
      <w:r>
        <w:rPr>
          <w:b w:val="0"/>
        </w:rPr>
        <w:t xml:space="preserve"> hade ett barn före äktenskapet, och </w:t>
      </w:r>
      <w:r>
        <w:rPr>
          <w:b/>
        </w:rPr>
        <w:t>hon²</w:t>
      </w:r>
      <w:r>
        <w:rPr>
          <w:b w:val="0"/>
        </w:rPr>
        <w:t xml:space="preserve"> arbetade själv för att förtjäna så pass mycket, att </w:t>
      </w:r>
      <w:r>
        <w:rPr>
          <w:b/>
        </w:rPr>
        <w:t>hon²</w:t>
      </w:r>
      <w:r>
        <w:rPr>
          <w:b w:val="0"/>
        </w:rPr>
        <w:t xml:space="preserve"> kunde betala för barnet i det hem, där det vistats sedan födelsen. TI det äktenskap </w:t>
      </w:r>
      <w:r>
        <w:rPr>
          <w:b/>
        </w:rPr>
        <w:t>hon²</w:t>
      </w:r>
      <w:r>
        <w:rPr>
          <w:b w:val="0"/>
        </w:rPr>
        <w:t xml:space="preserve"> sedan ingick, ville mannen inte veta av barnet och ansåg sig inte skyldig eller moraliskt förpliktad att betala för barnet. Så blev modern utan arbete, och ehuru </w:t>
      </w:r>
      <w:r>
        <w:rPr>
          <w:b/>
        </w:rPr>
        <w:t>hon²</w:t>
      </w:r>
      <w:r>
        <w:rPr>
          <w:b w:val="0"/>
        </w:rPr>
        <w:t xml:space="preserve"> mer än gärna hade velat själv betala för barnet, så blev det ingen annan råd än att </w:t>
      </w:r>
      <w:r>
        <w:rPr>
          <w:b/>
        </w:rPr>
        <w:t>hon²</w:t>
      </w:r>
      <w:r>
        <w:rPr>
          <w:b w:val="0"/>
        </w:rPr>
        <w:t xml:space="preserve"> fick vända sig till fattigvården. Där undersökte man förhållandet och dekreterade, att mannen måste betala. Men det blev precis lika som i det fall den ärade motionären förut påtalat här, det blev slitningar inom äktenskapet, och det barnet blev icke mottaget med glädje i det nya hemmet, där det skulle uppfostras.</w:t>
        <w:br/>
        <w:br/>
        <w:t>Om lagen följes aldrig så väl, kan det inte hjälpas, att man inte blir glad, när man får höra att ett barn måste tvångsförflyttas, för de ekonomiska synpunkternas skull.</w:t>
        <w:br/>
        <w:br/>
        <w:t xml:space="preserve">Jag har på mitt skrivbord ett brev, som jag fick för någon tid sedan, och där skildras ett fall, som jag anser mig böra relatera. Det är en fostermor, som skriver och beklagar sig över att modern skall ha rätt att förflytta barnet från det hem, där det nu finnes. Fostermodern säger, att </w:t>
      </w:r>
      <w:r>
        <w:rPr>
          <w:b/>
        </w:rPr>
        <w:t>hon²</w:t>
      </w:r>
      <w:r>
        <w:rPr>
          <w:b w:val="0"/>
        </w:rPr>
        <w:t xml:space="preserve"> anser det olyckligt, om barnet flyttas, och </w:t>
      </w:r>
      <w:r>
        <w:rPr>
          <w:b/>
        </w:rPr>
        <w:t>hon²</w:t>
      </w:r>
      <w:r>
        <w:rPr>
          <w:b w:val="0"/>
        </w:rPr>
        <w:t xml:space="preserve"> erbjuder sig t. o. m. att behålla barnet utan någon som helst ersättning, därför att barnet därigenom får den bästa vården.</w:t>
        <w:br/>
        <w:br/>
        <w:t>Jag menar, att det finnes sådana där rörande fall, där barn få en sådan kärleksfull vård i ett fosterhem, att de knappast kunna få något liknande, om de tvångsförflyttas.</w:t>
        <w:br/>
        <w:br/>
        <w:t>Huruvida det kan finnas så stora formella hinder för att biträda andra lagutskottets utlåtande, som här påstås, kan jag kanske icke yttra mig om, men även i andra lagutskottet sitter det ju jurister, som svara för detta utlåtande, och jag kan inte fatta, att det skall vara så omöjligt att antaga detsamma. Jag skulle gärna vilja tillstyrka förslaget för att få utrett, om det finnes någon möjlighet att åtminstone i undantagsfall åstadkomma en humanare tillämpning av lagen. Jag förstår inte varför man skall vara så bokstavstrogen, att man inte kan göra det bästa möjliga för barnens skull.</w:t>
      </w:r>
    </w:p>
    <w:p>
      <w:pPr>
        <w:pStyle w:val="Heading2"/>
      </w:pPr>
      <w:r>
        <w:t>2. Olivia Nordgren (Socialdemokraterna, woman)</w:t>
      </w:r>
    </w:p>
    <w:p>
      <w:r>
        <w:rPr>
          <w:b w:val="0"/>
        </w:rPr>
        <w:t>Herr talman! Det var verkligen inte med någon glädje jag åhörde herr Hedlunds anförande, utan jag blev tvärtom mycket överraskad över hans uppträdande, särskilt emedan jag samrått med herr Hedlund, innan Jag skrev motionen, och han då intet hade att erinra mot densamma. Jag har även vänt mig till statens fattigvårdsinspektör, som ansåg, att det var en framkomlig väg, om man införde den föreskriften, att det skulle vara obligatoriskt för länsstyrelserna att höra fattigvårdskonsulenterna innan hemsändning av barn ägde rum. Nu kunna länsstyrelserna infordra fattigvårdskonsulenternas yttranden, men de ha ingen skyldighet att göra det. Det är möjligt, att herr Hedlund har rätt i vad han säger, och jag tror, att i många fall bli dessa konsulenter hörda, men jag tycker ändå, att om det också bara inträffar ett enda sådant fall, som jag relaterat och styrkt inför utskottet med handlingar från myndigheterna, så är detta tillräckligt för att man skall begära en utredning, huruvida det icke är möjligt att tillämpa lagen på ett humanare sätt. Och att detta låter sig göra framgår ju av att fattigvårdsinspektören utsänt cirkulär till fattigvårdsmyndigheterna, vari han fäster dessas uppmärksamhet på denna möjlighet. Men cirkuläret har tydligen icke haft den verkan det borde ha, eftersom något sådant som detta fall kunnat inträffa. Det är tråkigt att behöva ta kammarens tid i anspråk i kväll, då vi haft så långa debatter, men då jag vet, att icke alla ha läst motionen — det kan man ju inte heller begära — så anser jag mig böra relatera det särskilda fall, som föranlett min motion.</w:t>
        <w:br/>
        <w:br/>
        <w:t xml:space="preserve">En gosse, född år 1923 utom äktenskapet, har alltsedan födelsen vårdats hos morföräldrarna, där han vuxit upp tillsammans med dessas barn, av vilka det yngsta var jämnårigt med honom själv. Han har icke vetat, att det var hos morföräldrarna han vistades, utan trott, att modern var hans vuxna </w:t>
      </w:r>
      <w:r>
        <w:rPr>
          <w:b/>
        </w:rPr>
        <w:t>syster²</w:t>
      </w:r>
      <w:r>
        <w:rPr>
          <w:b w:val="0"/>
        </w:rPr>
        <w:t xml:space="preserve">. Så råkade morfadern genom depressionen komma i den situationen att han icke längre kunde försörja sin </w:t>
      </w:r>
      <w:r>
        <w:rPr>
          <w:b/>
        </w:rPr>
        <w:t>dotterson²</w:t>
      </w:r>
      <w:r>
        <w:rPr>
          <w:b w:val="0"/>
        </w:rPr>
        <w:t xml:space="preserve"> och vände sig fördenskull till fattigvårdsstyrelsen i A. kommun, där han begärde och fick ett understöd av 20 kronor i månaden åt detta barn, som han haft gratis i sitt hem i nio år. Understödet bifölls som sagt, men då barnet icke hade hemortsrätt i A. kommun utan i B. kommun, så vände sig fattigvårdsstyrelsen i A. kommun till den andra kom-</w:t>
        <w:br/>
        <w:br/>
        <w:t>Man torde knappast kunna säga att dylikt vittnar om humanitet mot barnet 1 fråga. Tvärtom synes det mig som om det vore i allra högsta grad påkallat att något göres för att förebygga dylika händelser. Och då man av flera skäl inte kan gå in för en generell lagändring på detta område, är väl den lämpligaste vägen att man undersöker vad som kan göras på administrativ väg.</w:t>
        <w:br/>
        <w:br/>
        <w:t>Om lagutskottets kläm vill jag, som jag förut sagt, inte yttra mig, ty därtill är jag inte nog lagkunnig, men då andra lagutskottets ordförande är en framstående jurist och då det dessutom såväl i utskottet som dess sekretariat sitta lagkunniga män, så kan jag inte tänka mig, att utskottet kunnat komma med någonting, som är oantagligt för andra kammaren, helst som första kammaren ansett sig utan vidare kunna gå med på utskottets förslag.</w:t>
        <w:br/>
        <w:br/>
        <w:t>Herr talman, jag vidhåller mitt yrkande om bifall till utskottets förslag.</w:t>
      </w:r>
    </w:p>
    <w:p>
      <w:pPr>
        <w:pStyle w:val="Heading2"/>
      </w:pPr>
      <w:r>
        <w:t>3. Samuel Hedlund (Jordbrukarnas fria grupp, man)</w:t>
      </w:r>
    </w:p>
    <w:p>
      <w:r>
        <w:rPr>
          <w:b w:val="0"/>
        </w:rPr>
        <w:t xml:space="preserve">Herr talman! Jag skall icke alls förneka att motionären rådgjort med mig i denna sak och att jag tillrått </w:t>
      </w:r>
      <w:r>
        <w:rPr>
          <w:b/>
        </w:rPr>
        <w:t>henne²</w:t>
      </w:r>
      <w:r>
        <w:rPr>
          <w:b w:val="0"/>
        </w:rPr>
        <w:t xml:space="preserve"> att samråda med statens fattigvårdsinspektör. Men aldrig i världen hade jag drömt om att andra lagutskottet skulle föreslå riksdagen att skriva till Kungl. Maj:t och begära denna utredning. Jag hade verkligen förväntat, att andra lagutskottet skulle säga, att eftersom det är ett allmänt intresse att hemsändningsfrågan 1 sådana här fall bör allsidigt prövas, så anser lagutskottet att länsstyrelserna böra göras uppmärksamma på att de skola efterhöra fattigvårdskonsulentens uppfattning — om denne nu är humanare än andra människor — innan hemsändningsförfarandet tillgripes och på grund därav yrka avslag å motionen. Jag skulle svika min plikt, om jag icke säger detta. Länsstyrelserna äro så pass humant betonade, att de icke tillåta att någon olaglighet blir begången i fråga om barnens hemsändning.</w:t>
        <w:br/>
        <w:br/>
        <w:t xml:space="preserve">Det är riktigt, som </w:t>
      </w:r>
      <w:r>
        <w:rPr>
          <w:b/>
        </w:rPr>
        <w:t>fru²</w:t>
      </w:r>
      <w:r>
        <w:rPr>
          <w:b w:val="0"/>
        </w:rPr>
        <w:t xml:space="preserve"> Nordgren uttalade, att det är hårt ibland att en styvfader skall få taga hand om barnet, men icke rättar man väl till missförhållandena genom det, som man här föreslår. Vill man ha ändring, så bör man 1 stället stifta en lag, som säger att en styvfader icke skall ha målsman-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