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2009</w:t>
      </w:r>
    </w:p>
    <w:p>
      <w:r>
        <w:rPr>
          <w:b/>
        </w:rPr>
        <w:t xml:space="preserve">Datum: </w:t>
      </w:r>
      <w:r>
        <w:t>1934-05-08</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Alf Meyerhöffer (–, man)</w:t>
      </w:r>
    </w:p>
    <w:p>
      <w:r>
        <w:rPr>
          <w:b w:val="0"/>
        </w:rPr>
        <w:t>Herr talman! Första lagutskottet säger i sitt utlåtande, att förevarande lag varit till nytta. Det går längre än så och säger, att lagen lärer alltjämt vara behövlig. Någon som helst motivering för den uppfattningen föreligger icke, antagligen beroende på, att utskottet anser, att</w:t>
        <w:br/>
        <w:br/>
        <w:t>Ang. ändring i lagen om förbud mot politiska uniformer m. m. (Forts.) vad det uttalat är en så axiomatisk sanning, att den ej behöver motiveras. De, som i likhet med undertecknad ha motionerat om upphävande av lagen, kunna ju emellertid icke vara delaktiga av de motiv, som kunna ha förelegat för utskottets del, och det är därför jag nu begärt ordet.</w:t>
        <w:br/>
        <w:br/>
        <w:t xml:space="preserve">Jag tillåter mig peka på några av de omstridda fall, där man verkligen kan fråga sig, om utskottets uppfattning är så riktig. Vi minnas, att i somras gick igenom pressen ett meddelande, att hans excellens statsministern hade talat i Sundsvall, och samtidigt var det en talkör, »Vingarna», som uppträdde. Jag läste i den frisinnade tidningen i Sundsvall, att talet var mycket allvarligt, att talkören framställde en utmärkt prestation. </w:t>
      </w:r>
      <w:r>
        <w:rPr>
          <w:b/>
        </w:rPr>
        <w:t>Flickorna²</w:t>
      </w:r>
      <w:r>
        <w:rPr>
          <w:b w:val="0"/>
        </w:rPr>
        <w:t xml:space="preserve"> voro sköna och blusarna voro gröna, stod det som förklaring. Efter det hans excellens statsministern talat, påbörjades en pressdiskussion, huruvida stadsfiskalen skulle verkställa åtal för detta möte. Jag skall självfallet icke på något vis dryfta frågan, om stadsfiskalens tvekan i detta fall var berättigad eller ej, men jag tillåter mig hysa en från första lagutskottets avvikande uppfattning, då jag säger, att en lag, som är så formulerad, att då rikets främste man nedom tronen uppträder offentligt, man överhuvud taget kan förutsätta, att åtal skall kunna väckas, den lagen kan icke vara lycklig och bra. Och för att undvika allt missförstånd ber jag att få säga, att personligen skulle jag naturligtvis aldrig reflektera på, att åtal skulle väckas, men den däremot, som står i åklagarställning och har denna lag inför sig, måste resonera på annat sätt. Det finnes ju andra fall också, och det mest uppmärksammade har varit de bekanta blågula bindlarna. Det var ju en egendomlig motivering för domen, att detta skulle reta dem, som företräda en marxistisk uppfattning. Numera har ju hovrätten undanröjt varje tvekan på den punkten. Ur den synpunkten kan ju en annan motion i detta ämne förfalla. Men för vår del förefinnes icke detta skäl. För mig framstår det fullkomligt onaturligt, att man överhuvud taget kan säga, att en lag har varit till nytta, enligt vilken man väcker åtal, därför att vissa personer, som haft ordningsuppgift vid ett möte, burit landets blågula färger. Vi måste ha klart för oss, att den lagen har varit av ganska tveeggad natur.</w:t>
        <w:br/>
        <w:br/>
        <w:t>Går jag sedan över till det tredje uppmärksammade fallet, talade chefen för socialdepartementet efter lagens antagande i riksdagen, 14 dagar innan han utfärdade sin stadga, vid en gemensam kongress i Skåne mellan svenska och danska representanter för socialdemokratien. Jag är fullt övertygad om, att fastän man vid det tillfället var uniformerad och enligt referat i ett så fredligt tidningsorgan som »Arbetet» finner att t. o. m. stormfanor kommo till användning, det ej på något vis skulle ha givit chefen för socialdepartementet den uppfattningen, att politiska uniformer voro något störande, som behövde föranleda ingripande. Utan det förefaller i stället som om chefens för socialdepartementet erfarenhet i Skåne, där han själv var talare, 14 dagar innan han utfärdade denna förordning, borde ha givit honom den uppfattningen, att denna lag var obehövlig. Och vi se, att någon som helst störande inverkan förekom ej i det fallet, ehuru lagen icke ännu börjat tillämpas. Jag bar i denna fråga aldrig företrätt den synpunkten, att den vore särskilt viktig. Men detta ingår i ett komplex av förslag, som enligt min mening är till sin natur, som jag nyss sade, av mycket tveeggad art. Vad man tror sig vinna med dessa lagar, som här ha utfärdats, det är väl lugn och ordning samt förhindra allt som kan föranleda störningar av något slag. Man måste emellertid ha fullkomligt klart för sig, att om man ville vinna det resultatet, har man kommit till något helt motsatt. Man har i vidsträckta läger framalstrat en mera desperat stämning än som behövdes, om lagen ej varit i funktion. Den fyller icke något som helst berättigat krav.</w:t>
        <w:br/>
        <w:br/>
        <w:t>Av denna anledning tillåter jag mig, herr talman, yrka avslag på första lagutskottets utlåtande och bifall till den av mig och ett flertal andra motionärer i ärendet väckta motionen.</w:t>
      </w:r>
    </w:p>
    <w:p>
      <w:pPr>
        <w:pStyle w:val="Heading2"/>
      </w:pPr>
      <w:r>
        <w:t>2. Allan Vougt (Socialdemokraterna, man)</w:t>
      </w:r>
    </w:p>
    <w:p>
      <w:r>
        <w:rPr>
          <w:b w:val="0"/>
        </w:rPr>
        <w:t xml:space="preserve">Herr talman! Det var med en viss förvåning, jag åhörde vad min melankoliske vän på Norrbottensbänken nyss yttrade med så märkbar sordin på stämman. Han påtalade därvid vissa uppgifter, som lämnats i tidningen »Arbetet», där det skulle ha sagts, att vid det ifrågavarande mötet varit närvarande unga människor i uniform. Om herr Meyerhöffer undersöker, vad det är fråga om, finner han, att det var pojkar och </w:t>
      </w:r>
      <w:r>
        <w:rPr>
          <w:b/>
        </w:rPr>
        <w:t>flickor²</w:t>
      </w:r>
      <w:r>
        <w:rPr>
          <w:b w:val="0"/>
        </w:rPr>
        <w:t xml:space="preserve"> i en ålder, som ej drabbas av uniformsförbudet, liksom ej heller scoutrörelsen drabbas av samma lag. När herr Meyerhöffer sedan med en, för att vara av en militär, skräckslagen stämma talar om stormfanor, vill Jag säga, att en stormfana är en fana, som är så lätt att den utan svårighet kan bäras, när det blåser. Det behöver ej skrämma herr Meyerhöffer till den grad.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2009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