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2031</w:t>
      </w:r>
    </w:p>
    <w:p>
      <w:r>
        <w:rPr>
          <w:b/>
        </w:rPr>
        <w:t xml:space="preserve">Datum: </w:t>
      </w:r>
      <w:r>
        <w:t>1935-04-27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Bertha Wellin (–, woman)</w:t>
      </w:r>
    </w:p>
    <w:p>
      <w:r>
        <w:rPr>
          <w:b w:val="0"/>
        </w:rPr>
        <w:t>Herr talman! Det föreliggande ärendet hör till de frågor, som tidigare hava varit föremål för statsmakternas prövning. Med den inställning, som utskottet har intagit till frågan nu i dag, tror jag, att jag kan säga, att den hör ihop med de frågor, som återkomma. Det är ju så, att frå-</w:t>
        <w:br/>
        <w:br/>
        <w:t xml:space="preserve">Emellertid skall jag, i stället för att upptaga kammarens tid med en längre utläggning, på grund av det rikhaltiga material, som föreligger, be att få hänvisa till den motivering, som innefattas i motionen nr 86, avgiven av </w:t>
      </w:r>
      <w:r>
        <w:rPr>
          <w:b/>
        </w:rPr>
        <w:t>fru²</w:t>
      </w:r>
      <w:r>
        <w:rPr>
          <w:b w:val="0"/>
        </w:rPr>
        <w:t xml:space="preserve"> Eklund och mig, och i vilken motion även </w:t>
      </w:r>
      <w:r>
        <w:rPr>
          <w:b/>
        </w:rPr>
        <w:t>fru²</w:t>
      </w:r>
      <w:r>
        <w:rPr>
          <w:b w:val="0"/>
        </w:rPr>
        <w:t xml:space="preserve"> Nordgren, </w:t>
      </w:r>
      <w:r>
        <w:rPr>
          <w:b/>
        </w:rPr>
        <w:t>fru²</w:t>
      </w:r>
      <w:r>
        <w:rPr>
          <w:b w:val="0"/>
        </w:rPr>
        <w:t xml:space="preserve"> Gustafson och </w:t>
      </w:r>
      <w:r>
        <w:rPr>
          <w:b/>
        </w:rPr>
        <w:t>fru²</w:t>
      </w:r>
      <w:r>
        <w:rPr>
          <w:b w:val="0"/>
        </w:rPr>
        <w:t xml:space="preserve"> Gillner-Ringenson instämt. Jag skall vidare be att få hänvisa till det uttalande, som jag gjorde i kammaren, då frågan förra gången var föremål för kammarens prövning, nämligen den 17 maj 1933, och sålunda bespara kammaren en massa uttalanden i ämnet.</w:t>
        <w:br/>
        <w:br/>
        <w:t xml:space="preserve">Däremot är det några rader i detta yttrande, som jag gärna vill få fogade till dagens protokoll. Jag skall därför be att få uppläsa desamma: »Nu har det emellertid lämnats en del kompensation till vissa av dessa </w:t>
      </w:r>
      <w:r>
        <w:rPr>
          <w:b/>
        </w:rPr>
        <w:t>kvinnliga¹</w:t>
      </w:r>
      <w:r>
        <w:rPr>
          <w:b w:val="0"/>
        </w:rPr>
        <w:t xml:space="preserve"> befattningshavare, som genomgått den högre utbildningskursen, vilken före 1925 års beslut var gemensam för såväl män som </w:t>
      </w:r>
      <w:r>
        <w:rPr>
          <w:b/>
        </w:rPr>
        <w:t>kvinnor¹</w:t>
      </w:r>
      <w:r>
        <w:rPr>
          <w:b w:val="0"/>
        </w:rPr>
        <w:t>. Men när denna kompensation utdelades, så blev en del ställda utanför. Kompensationen sträckte sig nämligen endast till de befattningshavare, som den 1 juli 1926 innehade ordinarie tjänsteställning; de övriga blevo ställda utanför. Nu kan man ju icke säga annat än att när personer hava kostat på sig och nedlagt arbete för att förvärva en viss kompetens för att kunna nå en viss tjänsteställning och en viss lönestandard och sedan möjligheterna för dem klippas av på grund av ett beslut från myndigheternas sida, så ligger dock något rättfärdigt och rättvist i, att det gives dem någon ersättning eller vad jag har kallat kompensation för detta. Det är därför, som dessa framställningar hava gjorts och återkommit i olika former.»</w:t>
        <w:br/>
        <w:br/>
        <w:t>Herr talman! För att understryka min principiella uppfattning om det rättvisa i den framställning, som här har gjorts, tillåter jag mig yrka bifall till motionen.</w:t>
      </w:r>
    </w:p>
    <w:p>
      <w:pPr>
        <w:pStyle w:val="Heading2"/>
      </w:pPr>
      <w:r>
        <w:t>2. Hilding Hagberg (Vänsterpartiet, man)</w:t>
      </w:r>
    </w:p>
    <w:p>
      <w:r>
        <w:rPr>
          <w:b w:val="0"/>
        </w:rPr>
        <w:t>Herr talman! Jag ber att få yrka bifall till min motion.</w:t>
      </w:r>
    </w:p>
    <w:p>
      <w:pPr>
        <w:pStyle w:val="Heading2"/>
      </w:pPr>
      <w:r>
        <w:t>3. Gustaf Arnemark (–, man)</w:t>
      </w:r>
    </w:p>
    <w:p>
      <w:r>
        <w:rPr>
          <w:b w:val="0"/>
        </w:rPr>
        <w:t>Herr talman! I egenskap av motionär skall jag be att få redogöra något för de skäl, som ligga till grund för motionen nr 283 i denna kammare. Motionen går ut på att postassistenter vid postverket, stationsoch kontorsskrivare ävensom ritare vid statens järnvägar, som innehaft högsta löneklassen i sin lönegrad — nämligen den 15:e — i 6 år och dessutom nått 45 levnadsår, skulle tillerkännas ett extra ålderstillägg genom uppflyttning i närmast högre löneklass. Den löneförbättring, som det rör sig om, är å G-ort 372 kronor och å A-ort 300 kronor per år. Det är alltså fråga om en blygsam löneförbättring.</w:t>
        <w:br/>
        <w:br/>
        <w:t>De befattningshavare, det här är fråga om, inneha befattningar, som tidigare betraktats som rekryteringsbefattningar till högre tjänster. Man kräver också därför av aspiranterna till dem studentexamen eller annan formell kompetens därmed jämförlig. Man kräver även, att de skola genomgå dryga av respektive verk anordnade fackkurser, innan de anställas och erhålla lön. De ha tidigare betraktats som gradpasserare till tjänster ovanför 15:e lönegraden. Ända fram till början av 1920-talet erhöll också i regel dessa tjänstemän befordran efter 10 högst 15 års tjänst i rekryteringsgraden.</w:t>
        <w:br/>
        <w:br/>
        <w:t>Det avlöningsreglemente, som vi för närvarande ha vid kommunikationsverken, kom till genom beslut av riksdagen 1919 och förarbetet gjordes ännu tidigare. Att på den tiden här ifrågavarande tjänster alltjämt betraktades som gradpasserartjänster lider det intet tvivel om. Det bestyrkes för övrigt av det uttalande, som kommunikationsverkens lönekommitté gjorde i samband med lönegradsplaceringen av stationsskrivare och kontorsskrivare. Kommittén uttalade nämligen, »att de vid unga år erhålla sina befattningar och i regel kunna erhålla befordran till högre avlönade tjänster». Att detta betraktelsesätt var avgörande för lönesättningen, därom vittnar icke minst den omständigheten, att den förbättring i fråga om slutlönen — jag talar i detta fall om slutlön, därför att det är fråga om äldre tjänstemän — som uppkom genom 1920 års avlöningsreglemente, både relativt och absolut sett var minst just för dessa grupper. Vi ha i motionen anfört en del siffror, som belysa detta förhållande. Jag skall icke trötta med att nu upprepa dem, men jag skall be att få anföra ett par siffror för några större personalgrupper utöver de i motionen angivna för att ytterligare belysa saken. Om man håller sig till slutlönen å A-ort — jag tar lönen på A-ort, därför att denna måste betraktas som grundlön — visar det sig, att 1920 fick stationskarl 345, lokomotiveldare 435, lokomotivförare 465, byråassistent 540 kronor mera per år än tidigare, medan stationsskrivare fick endast 240 och postassistent 260 kronor i förhöjning.</w:t>
        <w:br/>
        <w:br/>
        <w:t>Genom omständigheter, som det skulle föra för långt att nu gå närmare in på — omständigheter som befattningshavarna under alla förhållanden icke ha någon skuld i — stoppades för dessa tjänstemän möjligheterna till befordran och därmed åtföljande löneförbättring fram på 1920-talet i sådan utsträckning både vid posten och järnvägen, att 15:e lönegraden hotar att bliva icke endast rekryteringsgrad utan även slutgrad för ett mycket betydande antal tjänstemän, och för de få, som verkligen lyckas uppnå befordran, sker detta först vid hög ålder. Medan befordran från stationsskrivare till förste stationsskrivare vid statens järnvägar omkring 1920 erhölls vid i medeltal 37 levnadsår och 14 tjänsteår, finner man exempelvis, att 1934 levnadsåldern stigit till 47 och tjänsteåren till 26. Vid postverket te sig förhållandena för postas-</w:t>
        <w:br/>
        <w:br/>
        <w:t>Ang. vissa ordinarie befattningar vid kommunikationsverken m. m. (Forts.) sistenterna minst lika mörka, ja, jag skulle vilja göra gällande, ännu mörkare än vid statens järnvägar. Tyvärr måste man också räkna med att befordringsförhållandena i stället för att förbättras ytterligare komma att försämras.</w:t>
        <w:br/>
        <w:br/>
        <w:t>Det är då ganska naturligt, att de tjänstemän, som drabbats av detta öde, vända sig till statsmakterna med sina bekymmer. Upprepade gånger ha vederbörande personalorganisationer gjort framställningar i saken, men hittills icke mött någon större förståelse hos de myndigheter, som yttrat sig i saken. Det enda undantaget härvidlag är generalpoststyrelsen, som 1928 skrev till Kungl. Maj:t och hemställde om en löneförbättring åt de äldre postassistenterna, ungefär sådan som vi nu föreslå i vår motion. Generalpoststyrelsen ville ha förslag i saken redan till 1929 års riksdag. Men framställningen skickades som så många andra till 1928 års lönekommitté, där den låg några år utan att tagas under behandling. Det är därför rätt så egendomligt att i Firottanftsnöe finna generalpoststyrelsen med bland dem som nu avstyrkt.</w:t>
        <w:br/>
        <w:br/>
        <w:t>Den omständigheten skall jag be att få gå en liten smula in på, ty det kan nog sättas i fråga, om verkligen generalpoststyrelsen avstyrkt eller icke. I det yttrande, som den senast avgav över någon dylik framställning, yttrar den, sedan den lämnat en historik över frågans tidigare faser, ordagrant följande: »Med hänsyn till den ståndpunkt, statsmakterna sålunda in i det sista intagit till framställningar av här ifrågavarande art, anser sig generalpoststyrelsen icke kunna nu understödja den föreliggande framställningen.» Detta yttrande har departementschefen och statsutskottet tydligen ansett vara avstyrkande. Men kan man kalla detta ett avstyrkande? Man kan visserligen icke kalla det tillstyrkan. Riktigast är det nog att uppfatta yttrandet så, att generalpoststyrelsen, utan att ändra mening i sak, böjer undan för tillfället för det hårda motståndet hos statsmakterna.</w:t>
        <w:br/>
        <w:br/>
        <w:t>Järnvägsstyrelsen säger alltid konsekvent nej till dylika framställningar av ekonomiska skäl. Lönenämnden vill inte ha någon åverkan på lönesystemet. Den hänvisar till konsekvenserna och anser i likhet med de hörda myndigheterna, att prövningen bör anstå till dess en mera allmän revision av avlöningsreglementet äger rum. Departementschefen säger i kungl. propositionen 111, sid. 14, att statsfinansiella hinder föreligga och att här icke förefinnas de alldeles särskilda skäl, som skulle påkalla någon löneändring.</w:t>
        <w:br/>
        <w:br/>
        <w:t>Nu vill jag för min del allvarligt ifrågasätta, om verkligen icke alldeles särskilda skäl numera föreligga för att göra en åtgärd, sådan som den vi föreslagit i vår motion, både befogad och försvarlig. För att nu icke tala om, att den vore förenlig med rättvisa och billighet gentemot de befattningshavare det gäller.</w:t>
        <w:br/>
        <w:br/>
        <w:t>Jag vill i detta sammanhang bringa i erinran, att riksdagen redan år 1925 vidtog en likartad anordning beträffande en annan kategori befattningshavare vid kommuniktionsverken, lokomotiveldarna — på betydligt lindrigare villkor för övrigt, än vad vi föreslå i vår motion. De skäl, som förestavade detta riksdagens beslut, voro, att lokomotiveldarna placerats relativt lågt på löneskalan, enär det varit vanligt, att de efter 8 å 10 år befordrades till lokomotivförare, men att befordringsmöjligheterna efter 1920 avsevärt försämrats och väntades bliva ytterligare försämrade.</w:t>
        <w:br/>
        <w:br/>
        <w:t>Att »gradpasseraresynpunkten» även inverkat vid här ifrågavarande 15- gradstjänstemans löneplacering, torde vara absolut obestridligt. Då statsutskottet i sitt utlåtande nu säger, att det »i likhet med motionärerna uppmärksammat, att dessa befattningshavares befordringsmöjligheter blivit i hög grad försämrade» — jag har här citerat utskottet ordagrant — kan jag för min del icke finna annat, än att statsutskottet även bort komma fram till samma slut</w:t>
        <w:br/>
        <w:br/>
        <w:t xml:space="preserve">Herr andre vice talman, varför jag i detta sammanhang dragit in lokeldarnas löneförbättring, är icke beroende på att jag på något vis missunnar dem den förbättring, de fingo 1925. Tvärtom anser jag, att det var rättvist och skäligt. Orsaken, varför jag åberopat och jämfört, är, herr andre vice talman, helt enkelt den, att jag funnit förhållandena fullt analoga för de befattningshavare, som genom vår motion föreslås erhålla en likartad förbättring. Analogien är för övrigt fullständigt för handen även beträffande de hörda myndigheternas inställning. Det är först framme i statsutskottet, som likheten tar alldeles slut. Jag har vidare gjort denna jämförelse, herr andre vice talman, därför att jag anser, att vad som i en dylik fråga var rätt och riktigt 1925, icke bör vara alltför oriktigt 10 år därefter. Därför vill jag också innerligen hoppas, att sista ordet i saken icke säges i dag, då riksdagen sannolikt följer statsutskottet och avslår motionen. Frågan är nog i likhet med den av </w:t>
      </w:r>
      <w:r>
        <w:rPr>
          <w:b/>
        </w:rPr>
        <w:t>fröken²</w:t>
      </w:r>
      <w:r>
        <w:rPr>
          <w:b w:val="0"/>
        </w:rPr>
        <w:t xml:space="preserve"> Wellin nyss berörda av den art, att den säkert kommer igen.</w:t>
        <w:br/>
        <w:br/>
        <w:t>Inför frågor som denna anföres numera ideligen: saken bör anstå till dess en mera allmän revision av avlöningsreglementet äger rum. Så har det hetat nu i över 10 år beträffande denna och andra frågor, som ha med avlöningsreglementet för kommunikationsverken att göra. Detta reglemente har nu gällt i över 15 år och är säkerligen i behov av en översyn på åtskilliga punkter i en snar framtid. Nu frågar jag: är det måhända tanken på en snart förestående översyn av detta slag och att frågan kan tagas upp i detta sammanhang, som gör, att utskottet nu har behandlat frågan så knapphändigt? Jag kan icke neka till att jag är litet nyfiken på denna punkten.</w:t>
        <w:br/>
        <w:br/>
        <w:t>Får man emellertid icke upp frågan till grundlig prövning snart i dylikt sammanhang, då nödgas jag vädja, vördsamt och enträget, till herr statsrådet och chefen för kommunikationsdepartementet att välvilligt låta pröva saken på nytt, om verkligen icke numera de särskilda skäl dock kunna anses föreligga, som påkalla en snar förbättring för dessa befattningshavare i den omfattning, som i motionen skisserats, i likhet med vad som skedde för lokeldare 1925 och som för övrigt skett vid denna riksdag av samma motiv och i samma former beträffande vissa militära befattningshavare.</w:t>
        <w:br/>
        <w:br/>
        <w:t>Till sist, herr andre vice talman, vill jag säga, att jag visserligen förstår, att det lönar sig föga att yrka bifall till motionen, men att jag i alla fall gör det såsom ett understrykande av det sakligt berättigade, det skäliga och rättvisa i dess hemställan.</w:t>
        <w:br/>
        <w:br/>
        <w:t>Jag ber därför, herr andre vice talman, att få yrka bifall till den av undertecknad m. fl. väckta motionen nr 283.</w:t>
        <w:br/>
        <w:br/>
        <w:t xml:space="preserve">I detta anförande, under vilket herr andre vice talmannen övertagit ledningen av kammarens förhandlingar, instämde herr Ossbahr, </w:t>
      </w:r>
      <w:r>
        <w:rPr>
          <w:b/>
        </w:rPr>
        <w:t>fröken²</w:t>
      </w:r>
      <w:r>
        <w:rPr>
          <w:b w:val="0"/>
        </w:rPr>
        <w:t xml:space="preserve"> Wellin samt herrar Lundqvist och Lithander.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2031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