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2037</w:t>
      </w:r>
    </w:p>
    <w:p>
      <w:r>
        <w:rPr>
          <w:b/>
        </w:rPr>
        <w:t xml:space="preserve">Datum: </w:t>
      </w:r>
      <w:r>
        <w:t>1935-06-01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Olsson (Socialistiska partiet, man)</w:t>
      </w:r>
    </w:p>
    <w:p>
      <w:r>
        <w:rPr>
          <w:b w:val="0"/>
        </w:rPr>
        <w:t>Herr talman! Under den diskussion, som förts i denna fråga både tidigare under utskottsbehandlingen och även nu senare här 1 riksdagen, har en verkligt brokig samling av uppfattningar kommit till ut-</w:t>
        <w:br/>
        <w:br/>
        <w:t>Ang. lag om vissa ekonomiska stridsåtgärder. (Forts.) tryck från skilda håll. Egentligen har det varit en mycket stor förvirring i föreliggande fråga. Det är klart, att om man skall konstruera fram en lagstiftning, så är det synnerligen svårt att från de gruppers eller partiers sida, som skola bygga upp konstruktionen, få något riktigt grepp om frågan. Och är det så, att det också ligger ett partipolitiskt moment bakom, blir det för dessa partier ännu svårare.</w:t>
        <w:br/>
        <w:br/>
        <w:t>Jag tillät mig anföra under remissdebatten beträffande denna fråga, att det var en klasslag, som man här syftade till. Jag citerade också ett yttrande av Hjalmar Branting från ett tillfälle, då ett liknande lagförslag förelåg på riksdagens bord. Han sade, att det »luktar klasslagstiftning lång väg». Så har det också varit i hela denna fråga från början till slut: det har luktat klasslagstiftning mycket, mycket lång väg.</w:t>
        <w:br/>
        <w:br/>
        <w:t>Man måste komma ihåg, vad fackföreningrörelsen i själva verket är, nämligen ett instrument som fått mycket betydelsefulla sociala uppgifter. Den legala verksamhet, som utövats, har blivit uppskattad och erkänd från olika håll, men först sedan fackföreningsrörelsen här i landet tilltvingat sig och tillkämpat sig detta erkännande. Visserligen har det aldrig lyckats fackföreningsfolket att bibringa exempelvis högern eller detta parti närstående korporationer den uppfattningen, att fackföreningsrörelsen utfört en banbrytande gärning på olika områden. På dessa håll har man icke ens lärt sig förstå betydelsen av de fackliga arbetarorganisationernas inbördes hjälppolitik, som dock varit en betydande faktor under krisperioder, arbetslöshetstider o. s. v. Den har tagit sig storartade former, och många miljoner kronor ha årligen utbetalats till arbetslösa och nödlidande. I kulturellt avseende har fackföreningsrörelsen — det vågar jag påstå — intagit en framskjuten plats. Visst finns det bildningsorganisationer av olika slag, och riksdagen beviljar ju medel till dylika, men jag tror mig med bestämdhet kunna uttala, att ingen av dessa organisationer, som riksdagen uppmuntrar genom anslag, i något avseende kan mäta sig med fackföreningsrörelsen, när det gäller dess insatser i fråga om bildningsverksamheten.</w:t>
        <w:br/>
        <w:br/>
        <w:t xml:space="preserve">Nu frågar man sig självfallet, vad detta har att skaffa med det nu föreliggande lagförslaget eller det lagförslag, som framkommit från reservanternas sida eller från andra håll. Jo, det sammanhänger mycket intimt med den föreliggande frågan, då det härvidlag gäller en klasslag, vars spets riktar sig uteslutande mot den organisation, som bedriver den verksamhet jag här talat om. Det är klart, att om fackföreningsrörelsen mister en del av sin verksamhet genom ett lagligt ingripande, eller om dess rörelsefrihet förkväves till viss grad genom statligt ingripande, är det icke säkert, att de övriga grenarna av verksamheten kunna hållas uppe. Det är också naturligt, att den upplysningsoch bildningsverksamhet, som utgjort en betydande del av fackföreningsrörelsens uppgifter, lider stor skada och stort men av de hemska skildringar om fackföreningsrörelsens verksamhet, som högerorganisationerna kommit med. Jag vill bara erinra om de ständiga uttalandena i den borgerliga pressen om de fackliga övergreppen. </w:t>
      </w:r>
      <w:r>
        <w:rPr>
          <w:b/>
        </w:rPr>
        <w:t>Änkan²</w:t>
      </w:r>
      <w:r>
        <w:rPr>
          <w:b w:val="0"/>
        </w:rPr>
        <w:t xml:space="preserve"> Björn i Borlänge och </w:t>
      </w:r>
      <w:r>
        <w:rPr>
          <w:b/>
        </w:rPr>
        <w:t>änkan²</w:t>
      </w:r>
      <w:r>
        <w:rPr>
          <w:b w:val="0"/>
        </w:rPr>
        <w:t xml:space="preserve"> Karlsson i Stockholm äro väl vid detta lag historiska figurer. Insamlingar av nationella mått ha företagits och livfulla skildringar ha gått genom tidningspressen rörande dessa personers lidanden. Och icke nog därmed: man har också i det sammanhanget talat om hurusom fackföreningsrörelsen är en våldsinstitution, som med våld och med oriktiga medel söker tvinga fattiga människor till underkastelse och tvinga dem att upphöra med sin näring eller sitt yrke. Herr Lindman har i dag varit inne på samma tema här i kammaren, då han talade om hur bleckoch plåtslagarförbundet sökt tvinga en del mindre plåtslagarmästare att ansluta sig till organisationen och förklarat, att därest de</w:t>
        <w:br/>
        <w:br/>
        <w:t xml:space="preserve">icke ville göra detta skulle bleckoch plåtslagarförbundet blockera, det vill med andra ord säga söka stjälpa den rörelse, de små plåtslagarmästarna utövade. Nu är förhållandet icke alls sådant, som herr Lindman i dag framställt det, och vad högerpressen tidigare sökt göra gällande är också alldeles oriktigt. I de flesta fackförbunds stadgar stipuleras, att mästare icke få inträda i fackorganisationen, och är det så, att arbetarna sökt komma till rätta med förhållandena på arbetsplatsen eller sökt genom legala metoder, tillåtna enligt svensk lag, agitera för oorganiserades inträde i organisationen, skall väl icke detta i dag vare sig från herr Lindmans sida eller från andra håll stämplas som något brott, som fackföreningsrörelsen skulle ha begått. Byggnadsarbetarna ha också varit en grupp, som ständigt och jämt varit utsatt för hetspropagandan från borgerligt håll, och man har mycket ofta och mycket gärna talat om deras »metoder» i arbetet. Jag vill icke sticka under stol med att det kanske någon gång vid något tillfälle förekommit sådant, som kanske icke ens ur arbetarsynpunkt ansetts så alldeles lämpligt. Men då man kastar sig över en arbetargrupp därför att den försöker hålla och följa de avtal, som gjorts upp mellan respektive parter, tycker jag, att det går nästan långt. Det var en byggnadsarbetare, som tjänat 25,000 kronor på ett år, och man gjorde ett förskräckligt nummer av den saken. Han hade emellertid följt det avtal, som träffats mellan parterna, och icke gått utanför avtalets ram. Det anklagade man denne byggnadsarbetare för och det hette: se, hur dessa byggnadsarbetare uppträda, se vilka metoder de begagna sig av! Men om en affärsman genom ett skickligt schackdrag gör en kupp och tjänar låt mig säga 50,000 kronor vid ett tillfälle, betraktas han såsom en mycket skicklig och duktig affärsman, och bolag och andra företagare söka med all kraft få honom över till sig just därför att han är en duktig och skicklig man. Om fackföreningsrörelsen har dugliga ledare, som göra upp mycket goda avtal för sina medlemmar, kommer man ifrån borgerligt håll — såsom man gjort i denna diskussion — och säger: det är ohederliga metoder; här måste samhället ingripa. Här måste det statueras exempel, här måste skapas en lag till skydd för tredje man! Sådan är den allmänna diskussion, som förts från borgerligt håll under de senaste åren, och jag tror inte jag går för långt, om jag säger, att de båda fallen </w:t>
      </w:r>
      <w:r>
        <w:rPr>
          <w:b/>
        </w:rPr>
        <w:t>änkan²</w:t>
      </w:r>
      <w:r>
        <w:rPr>
          <w:b w:val="0"/>
        </w:rPr>
        <w:t xml:space="preserve"> Björn i Borlänge och </w:t>
      </w:r>
      <w:r>
        <w:rPr>
          <w:b/>
        </w:rPr>
        <w:t>änkan²</w:t>
      </w:r>
      <w:r>
        <w:rPr>
          <w:b w:val="0"/>
        </w:rPr>
        <w:t xml:space="preserve"> Karlsson i Stockholm äro det verkliga upphovet till den vulgäragitation, som förts från högerns sida gentemot fackföreningsrörelsen på senare år.</w:t>
        <w:br/>
        <w:br/>
        <w:t>Om nu en lag sådan som den av utskottet föreslagna eller t. o. m. en sådan lag som föreslagits av Kungl. Maj:t skulle bifallas, vad kommer då detta att medföra? Hittills ha de fackliga organisationerna fått bedriva en öppen och legal verksamhet. De ha sålunda kunnat kontrolleras av alla, och tidningspressen har sannerligen icke varit sen att följa rörelsen i dess olika faser och aktioner. Detta har varit en betydande fördel för alla parter, och jag har vid upprepade tillfällen hävdat den meningen, att den hemlighetsfullhet, som omger förhandlingarna, då det t. ex. är regel att avtalsförslag icke få offentliggöras förrän omröstningarna äro klara, är i allra högsta grad oriktig, ja t. o. m. till skada för arbetarklassen och för övriga befolkningsgrupper överhuvud taget. Ju mera öppet och offentligt fackföreningsrörelsen framträder, dess bättre är det för fackföreningsrörelsen och för fackföreningsfolket. Genom lagstiftningen blir förhållandet emellertid ett helt annat. Den öppna och allmänna kontroll, som tidigare kunnat utövas, kommer nu att skjutas i bakgrunden genom lagstiftningen, och i stället blir det en statlig kontroll. Det blir länsstyrelsernas uppgift att hålla reda på fackorganisationernas stadgar och förordningar, förbundens och avdelningarnas styrelsemedlemmar, deras adresser, strejkutskottens medlemmar och deras adresser o. s. v. Allt detta</w:t>
        <w:br/>
        <w:br/>
        <w:t>Ang. lag om vissa ekonomiska stridsåtgärder. (Forts.) skola länsstyrelserna och överståthållarämbetet ha reda på. Man frågar sig: gagnar en sådan statlig kontroll fackföreningsrörelsen eller fackföreningsfolket? Nu är det ju icke bara så, att den allmänna kontrollen omöjliggöres eller i viss mån skjutes åt sidan för den statliga, utan fackföreningarnas hittillsvarande rörelsefrihet inskränkes och strejkbryteriet regleras genom lag. Naturligtvis måste dylika ingrepp i en legal rörelses verksamhet medföra helt andra former för denna rörelses utåtriktade verksamhet än tidigare. Förbjuder man exempelvis genom lag en öppen strid, som vem som helst kan följa och kontrollera, så tager denna strid sig andra former än förut. Sabotage är en form, registermetoden en annan. Båda dessa stridsmetoder kunna icke kontrolleras allmänt och ej heller statligt, även om man skulle genomföra en lag sådan som den här ifrågasatta. Endast de stridande själva kunna kontrollera dylika metoder. Vill man pressa fram dessa, är en lagstiftning i enlighet med både Kungl. Maj:ts och utskottets förslag liksom också en sådan lagstiftning, som högern vill ha — vilken är ännu mera skärpt — alldeles ypperlig. En arbetsplats, där misshälligheter uppstå, blir t. ex. utsatt för en öppen konflikt. Det kostar mycket för organisationerna att ställa säkerhet, och många av organisationernas ledningar vilja icke springa till länsstyrelserna eller till överståthållarämbetet med fackföreningarnas arkiv, deras stadgar och böcker. Det är därför sannolikt, att de fackliga striderna, om en dylik lag antages, komma att söka sig andra vägar än de hittills gjort.</w:t>
        <w:br/>
        <w:br/>
        <w:t>Fackföreningsrörelsen har hittills i allt väsentligt sysslat med avtalsfrågor, förhållandena på arbetsplatserna, hjälpverksamhet för arbetslösa och sjuka och, som jag tidigare nämnt, bildningsverksamhet och liknande uppgifter. Stiftar man en lag, som förhindrar organisationernas rörelsefrihet i ett avseende, mister rörelsen en del av sitt nuvarande innehåll, med det resultat, att även det övriga förtvinar och kan dö bort, och i stället kommer kampen på arbetsplatserna. Från mina utgångspunkter är jag icke motståndare till en dylik utveckling, men jag vill icke vara med om att den skall ske på bekostnad av rörelsens nuvarande verksamhet: den att öppet och officiellt tillvarataga arbetarnas dagsaktuella ekonomiska intressen.</w:t>
        <w:br/>
        <w:br/>
        <w:t>Det är ännu en principiell sida av denna sak, som måste beröras. Det talas mycket ofta om demokrati och det sägs, att denna demokrati måste skyddas. Nyss förklarade statsministern Per Albin Hansson, att en av de mäktigaste demokratiska rörelser, som finnas i samhället, är fackföreningsrörelsen. Det är, förklarade han, en mäktig kraft i den demokratiska utvecklingen. Men om man nu stiftar en lag, som till 99 4 riktar sig mot de cirka 700,000 organiserade arbetare, som finnas i landet, hugger man då icke bort ett betydligt stycke av just den demokrati, som man säger sig vilja skydda? Jag kan i detta sammanhang erinra om den demokratiska Weimarförfattningen i Tyskland, på vilken man knaprade bort det ena stycket efter det andra genom sådana lagstiftningsåtgärder, som det här rör sig om, med det resultat, att den demokrati man sade sig vilja slå vakt om så småningom helt försvann och efterträddes av våldsdiktaturen Hitler. Och fastän man här talar om den mäktiga kraft i den demokratiska utvecklingen, som fackföreningsrörelsen utgör, är man ögonblickligen där med en dolk i ryggen på fackföreningsrörelsen och söker förhindra dess rörelsefrihet och dess utvecklingsförmåga.</w:t>
        <w:br/>
        <w:br/>
        <w:t>Det är vidare en del ganska intressanta synpunkter, som kunna anföras utöver dessa rent principiella, framför allt beträffande lagens praktiska verkningar. I remissdebatten vid årets riksdag förklarade statsministern, att även fackföreningsrörelsen måste underordnas det samhälleliga intresset. Han ville sålunda därmed ha sagt — och han har uttryckligen understrukit det även i dag — att de fackliga organisationernas verksamhet är av den art, att</w:t>
        <w:br/>
        <w:br/>
        <w:t>Ang. lag om vissa ekonomiska stridsåtgärder. (Forts.) en lagstiftning är nödvändig och måste genomföras. Statsministern har också i dag anklagat högern för att högern icke vill vara med om att åstadkomma denna lagstiftning. Den skulle utgöra ett skydd för »tredje man». Jag har noggrant följt utredningarna och den diskussion, som förts 1 samband med dessa, och jag har fått den bestämda uppfattningen, att ingen i själva verket kan lämna en klar definition på begreppet tredje man. I det bergendalska förslaget existerar denna mystiska figur knappast alls. Visserligen har man gett några exempel, men dessa torde icke ha tillfredsställt någon, icke ens regeringen, då den omedelbart efter det bergendalska lagförslaget tillsatte den s. k. trettonmannakommissionen. Denna arbetade på sin tid snabbt och — det förklarades på åtskilliga håll — också effektivt. Men icke heller i trettonmannakommissionens förslag kan man hitta på sådana tredje män, som skulle behöva ett lagligt skydd. Icke heller i Kungl. Maj:ts proposition kan man finna den där tredje mannen, och utskottet har heller icke lyckats få tag i några tredje män, som behöva det lagskydd man talar om. Det är klart, att det då måste uppstå en viss förvirring, då frågan behandlas, och denna förvirring kom i dag till uttryck i riksdagen genom herr Lindmans tal, genom statsministerns deklaration och senare genom folkpartiets uttalande genom herr Österström. Det är ganska tydligt, att om man som sagt skall konstruera fram en lagstiftning, blir det en dylik förvirring, och om man inte hittar den, som man skall lagstifta för, blir det ännu värre. Det är ju så, om man studerar utskottets förslag, att det här gäller i mer eller mindre utpräglad grad en lagstiftning mellan parter. Man har också i själva lagtexten mycket sorgfälligt undvikit att tala om tredje man. TI lagens rubrik finns ordet tredje man inte längre med. I det bergendalska förslaget talade man åtminstone om det i rubriken till lagen. Nu har det helt försvunnit. Nu är det endast en lag om »vissa ekonomiska stridsåtgärder».</w:t>
        <w:br/>
        <w:br/>
        <w:t>Det finns tredje män, den saken skall jag inte förneka. Men då vi från socialistiska partiets sida vid upprepade tillfällen ha motionerat om skydd för de verkliga tredje männen, har riksdagen inte velat vara med. Då har man inte sett de tredje männen. Det är bl. a. de, som genom arbetslöshetskommissionen blivit avstängda från understöd och arbete, exempelvis lantarbetarna. De äro tredje män. De behöva ett lagligt skydd, men dem ger man ingenting. Nu är det fråga om en lag mellan tvenne parter.</w:t>
        <w:br/>
        <w:br/>
        <w:t>Man kan då först ställa frågan: Vad menas med stridsåtgärd? Det talas i lagtexten om blockad, bojkott och arbetsinställelse eller annan därmed jämförlig åtgärd. Till stridsåtgärder räknas vidare uppsägning av arbets- eller hyresavtal, och det meddelas vidare i lagtexten, att avbrytandet av ekonomiska förbindelser, när det sker av flera i samverkan eller eljest är till avsevärt men för den angripne, också är att hänföra till stridsåtgärd. Det skulle vara intressant, om någon från utskottet eller från regeringen — ty regeringspropositionen innehåller samma bestämmelser — ville lämna en förklaring på, vad man menar med »eller annan därmed jämförlig åtgärd», då man talar om bojkott, blockad eller lockout. Det skulle, som sagt, vara intressant att veta detta och vad man menar med »eller eljest är till avsevärt men för den angripne». Vad syftar man på och var går gränsen, när det gäller »avsevärt men»? Det skulle vara synnerligen intressant att få en upplysning härom. Är det verkligen meningen att den lagstiftande församlingen skall stifta en lag med dylika kautschukartade bestämmelser? Men oavsett detta: vad bottnar detta förhållande i? Jo, det bottnar självfallet, som jag tidigare sagt, i det förhållandet. att man icke fått tag i några tredje män, som behöva skydd och som man skulle lagstifta för, och därför har man konstruerat fram en sådan lagtext.</w:t>
        <w:br/>
        <w:br/>
        <w:t>I utskottsförslaget återfinner man precis detsamma, då det gäller behörighetsreglerna, nämligen i $$ 2, 3, 4, 5 och 6, där det talas om behörighet att igångsätta konflikt. Skulle den lagtext, som finns i dessa paragrafer, följas, skulle fackföreningsrörelsen och fackförbunden på sina allra första kongresser få fullständigt omarbeta stadgarna för att kunna följa lagens bestämmelser. Så orimligt och verklighetsfrämmande har lagutskottet här byggt upp denna lagtext, och den står man nu i begrepp att skicka ut — man har ju också yrkat bifall till den från folkpartiets sida — och sedan skulle man upprätta en domstol, som skulle handla efter denna omöjliga lagtext.</w:t>
        <w:br/>
        <w:br/>
        <w:t>I $ 15 av utskottets förslag möter man bestämmelserna om skyddsarbete. Här gäller det, säger man, skydd för tredje man. Det är första gången i lagtexten, som man talar om tredje man. Begreppet skyddsarbete, förklarar utskottet, har en stor praktisk betydelse. Det får inte erhålla för snäv omfattning, men ej heller får begreppet få för vidsträckt omfång. Det är ju mycket upplysande, att man meddelar dessa synnerligen intressanta synpunkter. Utskottet förklarar i denna paragraf att till skyddsarbete skall hänföras bl. a. sådant arbete, som icke kan anstå utan fara för människor eller för skada på byggnader eller andra anläggningar, fartyg, maskiner, husdjur, varulager el. dyl., ävensom arbete med bärgning av mogen gröda och därmed jämförliga produkter.</w:t>
        <w:br/>
        <w:br/>
        <w:t>Som var och en hör rymmer formuleringen i utskottets förslag, som endast skiljer sig från regeringens proposition genom att orden varulager och mogen gröda tillkommit, nästan allt vad man kan tänka sig av arbetsmöjligheter. Vad menas t. ex. med fara för människor eller skada på byggnader eller andra anläggningar, varulager o. dyl.? En klyftig jurist eller domstol kan faktiskt tolka detta till att betyda nästan vad som helst. Om ett hus inte blir omsett i tid, tar det skada. Samma är förhållandet med både fartyg och maskiner. Det finns maskiner, som t. o. m. ta skada, om de få stå stilla. Under dylika förhållanden måste man få anse, att till skyddsarbete också skall räknas att hålla sådana maskiner i gång.</w:t>
        <w:br/>
        <w:br/>
        <w:t>Nu förklarar man visserligen, att lagen inte ålägger någon att mottaga s. k. skyddsarbete, varför det i detta avseende inte finns något tvång. Inte heller är som bekant konflikt förbjuden, förklaras det. Allt detta är ju sant, men de, som sysslat med utskrivningen av denna lagtext, ha säkerligen räknat med effekten av densamma. Det är i verkligheten »arbetets frihet», som lekt dem i hågen. Få strejkbrytarna blott ett lagligt skydd, blir det inte svårt att få dem 1 arbete. De kunna utföra den produktion, som av fackorganisationerna blivit blockerad, utan att därför behöva bli betraktade såsom osolidariska. Där ligger i verkligheten själva huvudmomentet i allt tal om skyddsarbete, och inte heller skulle någon kunna påstå, att den, som tar skyddsarbete, är att betrakta som tredje man.</w:t>
        <w:br/>
        <w:br/>
        <w:t>Jag vill göra kammarens ledamöter uppmärksamma på, att vid varje tillfälle, då fackorganisationerna igångsätta en öppen strid, en strejk eller bojkott, och skyddsarbete måste utföras, d. v. s. sådant arbete, som är nödvändigt för människor eller djur, ha fackorganisationerna alltid vid proklamerandet av sina stridsåtgärder gjort undantag för detta arbete och själva beordrat arbetarna att utföra dessa skyddsarbeten. Om man nu skapar en lagstiftning och säger, att skyddsarbete, som utföres, skall vara lagligen skyddat, vem kommer då att utföra detta skyddsarbete? Ja, inte blir det den fackligt organiserade arbetaren i annan mån än då fackorganisationerna göra undantag för arbetena. Nej, det blir de där strejkbrytarna, som statsministern Per Albin Hansson nyss talade om. Det blir de, som komma att utföra skyddsarbete, de nämligen, som han antydningsvis förklarade vara asociala indi-</w:t>
        <w:br/>
        <w:br/>
        <w:t>I andra paragrafer av lagen talas om förbud mot stridsåtgärder i vissa fall. Jag skall endast beröra en enda punkt, nämligen vad som stipuleras 1 $ I0 i utskottsbetänkandet. Det meddelas, att omkring 8,871 företag inom industrien med sammanlagt 38,761 arbetare kunna tänkas bli drabbade av innehållet i denna lagparagraf. I de anförda siffrorna ingå dock icke en mängd företag inom särskilt hantverksyrkena, målarbranschen, skomakeriyrket, transportverksamheten, mindre byggnadsföretag o. s. v. Även om jag själv anser, att den i utskottsbetänkandet angivna siffran över arbetarantalet är för hög, komma med all sannolikhet minst 50,000 människor att drabbas av lagen i detta avseende. Nu framhåller man, att de, som det här gäller, äro delägare i företagen, eller också stå de i beroendeställning på grund av släktskap till företagens innehavare. Även om detta är riktigt, måste man dock komma ihåg, att dessa företag i mycket stor utsträckning äro säsongföretag, som under säsongerna till sig dra lejd arbetskraft. Det är familjeföretag, som under högsäsongerna ha lejd arbetskraft, och här föreslås ett direkt förbud även mot vanlig löneanställd arbetskraft hos dessa företag att kunna få göra sin rätt gällande gentemot familjeföretaget eller familjebolaget. Det är således här ett första steg, som man tagit till ett direkt förbud att på lagstiftningens väg söka förhindra och omöjliggöra de legala metoder, som fackföreningsrörelsen tidigare tillkämpat sig genom hårda duster. Det är klart, att man under sådana förhållanden inte heller på den punkten kan understödja detta lagförslag.</w:t>
        <w:br/>
        <w:br/>
        <w:t>Ja, herr talman, går man igenom lagtexten på detta sätt, finner man, att det inte finns några som helst skäl för en lagstiftning på området vare sig i det sakkunnigutlåtande, som föreligger, eller i regeringens proposition, och ej heller finner man några skäl i utskottets betänkande. Talet om tredje man är en myt. Lagens rubrik har också blivit ändrad till »lag om vissa ekonomiska stridsåtgärder», och det säger ju i själva verket allt. Lagen är riktad mot arbetarnas fackliga organisationer, och därmed är också syftet med lagen klar. Det har varit ett politiskt försök från olika håll att klavbinda fackföreningarnas hittillsvarande rörelsefrihet, att kriminalisera organisationerna och dess medlemmar och att ge samhällets avskum, strejkbrytarna, ett lagligt skydd. Det är allvarliga och farliga vägar, som riksdagen här varit inne på. De deklarationer, som i dag ha avgivits både i första kam-</w:t>
        <w:br/>
        <w:br/>
        <w:t>Ang. lag om vissa ekonomiska stridsåtgärder. (Forts.) maren och här i andra kammaren av socialministern och statsministern, ge dock vid handen, att den väldiga opinion, som kommit till uttryck mot en lagstiftning på detta område, främst från fackföreningarna och arbetarmassorna överhuvud taget, måste ha gjort ett visst intryck, så att man väl i dag får förmoda, att riksdagen för sitt vidkommande kommer att avslå de föreliggande förslagen till lag på detta område.</w:t>
        <w:br/>
        <w:br/>
        <w:t>Då jag och mina partikamrater här i andra kammaren ensamma ha motionerat om avslag å Kungl. Maj:ts proposition, ha vi också genom denna vår motion klart och tydligt sagt ifrån, att vi icke under några som helst förhållanden vilja vara med om en lagstiftning på detta område. Jag ber därför, herr talman, att få yrka bifall till den av mig m. fl. väckta motionen i ärendet, samtidigt som jag ber att få yrka avslag på utskottets föreliggande förslag i denna punkt.</w:t>
      </w:r>
    </w:p>
    <w:p>
      <w:pPr>
        <w:pStyle w:val="Heading2"/>
      </w:pPr>
      <w:r>
        <w:t>2. Gustaf Henning Andersson (–, man)</w:t>
      </w:r>
    </w:p>
    <w:p>
      <w:r>
        <w:rPr>
          <w:b w:val="0"/>
        </w:rPr>
        <w:t>Herr talman! Efter det uppseendeväckande anförande, som hans excellens herr statsministern för en stund sedan här höll, tjänar det ju icke mycket till att fortsätta med den sakliga diskussionen i det föreliggande spörsmålet. Det vore fastmera av intresse att upptaga en debatt med herr statsministern rörande innebörden av den nya statskonst, som han tydligen håller på att införa i och med sitt uppträdande i dag. Men eftersom han inte är närvarande i kammaren, får jag väl uppskjuta denna diskussion till dess att lunchen är över. I varje fall kan det näppeligen vara behövligt att i likhet med den siste ärade talaren lägga upp ett så brett perspektiv över problemet i samma ögonblick som man vet — vilket han också själv mycket riktigt konstaterade — att resultatet av dagens debatt sannolikt kommer att bli negativt. Hans anförande måste följaktligen i väsentliga hänseenden liknas vid en kamp emot väderkvarnar.</w:t>
        <w:br/>
        <w:br/>
        <w:t>I den diskussion, som förts angående lagen om ekonomiska stridsåtgärder, har det gång på gång framhållits, att man här rör sig på ett alldeles nytt lagstiftningsområde, ett område, som till sin natur är ganska svårt att lagligen reglera. Den splittring, som har varit för handen i lagutskottet, visar också oförtydbart, att man här befinner sig så att säga alltjämt på sökandets stadium. Ur den synpunkten är det ganska naturligt, att delade meningar kunna finnas. I vissa avseenden äro dessa skiljaktiga meningar icke av så genomgripande betydelse, men i andra återigen är det i själva verket olika principer, som stå mot varandra, principer, som man på ömse sidor anser så vitala och omöjliga att rygga, att man helt och hållet bortser från att deras tillämpning i den förevarande lagen i många hänseenden kommer att bli av ganska ringa praktisk betydelse. Det är de omstridda detaljerna rörande den nya lagens förhållande till vissa kategorier av arbetsvilliga och i fråga om organisationstvånget, som jag här åsyftar. För oss, som anse, att det föreliggande förslaget i dessa båda avseenden är otillfredsställande, har det gällt att i detta sammanhang så långt sig göra låter hävda individernas frihet och samhällets oavvisliga skyldighet att skydda de laglydiga medborgarna i utövandet av sin näring. Men för andra återigen framstår värnandet av klassolidariteten och den ekonomiska intressegemenskapen som något så dyrbart och värdefullt, att hävdvunna rättsbegrepp och moralbegrepp till och med få vika. Mellan dessa båda meningsriktningar är utan tvivel en klyfta så stor, att det icke är möjligt att överbygga den med bryggor, och därför är naturligtvis varje diskussion om principerna här i syfte att övertyga varandra fullständigt ofruktbar.</w:t>
        <w:br/>
        <w:br/>
        <w:t>För min del betraktar jag meningsbrytningarna omkring lagen som en del av den pågående striden mellan den ekonomiska individualismen och kollektivismen. Vi, som hävda, att friheten i ekonomiskt hänseende är en utomor-</w:t>
        <w:br/>
        <w:br/>
        <w:t>Ang. lag om vissa ekonomiska stridsåtgärder. (Forts.) dentligt värdefull hävstång för allt ekonomiskt framåtskridande, vi bekämpa från dessa utgångspunkter kollektivismen. Och det är fullkomligt riktigt, som en talare här förut i dag sagt, att i och med det, att man knäsätter solidaritetsprincipen på sådant sätt, som statsministern nyss gjorde, har man också helt och hållet accepterat kollektivismen som ekonomisk samhällsprincip. Följaktligen finner jag ingen överdrift i att säga, att striden omkring organisationstvånget och striden omkring lagens förhållande till vissa kategorier av arbetsvilliga ytterst är en strid mellan den socialistiska samhällsåskådningen och den icke socialistiska, mellan å ena sidan dem, som hävda kollektivismen och solidariteten inom klasserna som det fundamentala för den ekonomiska samhällsordningen, och å andra sidan dem, som anse, att den enskilda företagsamheten och individualismen alltjämt så långt som möjligt böra värnas. Om vi utgå från, att vi å ömse sidor ha denna skiljaktiga grundsyn, kan man möjligen komma till att förstå varandras synpunkter men man kommer givetvis därmed ingalunda varandra närmare.</w:t>
        <w:br/>
        <w:br/>
        <w:t xml:space="preserve">Jag skall icke ingå på spörsmålet om den nya lagstiftningens förhållande till de arbetsvilliga. Det har berörts i åtskilliga av de föregående anförandena här. Jag skall heller icke ingå på någon av de övriga detaljerna i lagen. Jag vill bara säga några ord om det s. k. organisationstvånget, och det så mycket hellre, som denna del av problemkomplexet har uppgivits vara av särskilt stor betydelse för organisationsverksamheten bland jordbrukarna. Enligt det föreliggande förslaget, såväl sådant det framlagts i propositionen och sådant det nu föreligger i utskottets utlåtande, skulle vissa stridsåtgärder vara tillåtna för att förmå enskilda personer att gå in i eller ut ur en organisation. I de motioner, som väckts från folkpartiets sida, ha vi påyrkat, att lagen 1 detta hänseende skulle intaga samma ståndpunkt som trettonmannakommissionens förslag, d. v. s. stadga uttryckligt förbud mot kollektiva stridsåtgärder i syfte att främja organisationsanslutning. Vi anse det nämligen vara en självklar sak, att en människa bör ha frihet att bestämma, om </w:t>
      </w:r>
      <w:r>
        <w:rPr>
          <w:b/>
        </w:rPr>
        <w:t>hon²</w:t>
      </w:r>
      <w:r>
        <w:rPr>
          <w:b w:val="0"/>
        </w:rPr>
        <w:t xml:space="preserve"> vill tillhöra en förening eller icke. Och jag går så långt, att jag nästan vill sätta denna frihet som en av de fundamentala mänskliga frioch rättigheterna. När man nu från visst jordbrukarhåll driver den satsen, att det skulle vara synnerligen värdefullt för organisationsverksamheten bland jordbrukarna att i enstaka fall ha tillfälle att oförhindrad av lagstiftningen vidtaga stridsåtgärder för att förmå vissa eventuellt osolidariska yrkesbröder till anslutning till en viss förening, måste jag säga, att jag betraktar en sådan uppfattning som högst överdriven. Den erfarenhet man hittills haft från organisationsarbetet bland jordbrukarna har icke visat, att det funnits behov av några tvångsåtgärder. Jordbrukarna ha haft en alldeles naturlig känsla för betydelsen av sammanhållning och ha i mycket stor utsträckning anslutit sig till respektive föreningar, och det är ingen anledning att antaga, att motsatsen skulle bli förhållandet i framtiden, snarare tvärtom. Det är klart, att i och med att en organisation vinner i styrka verkar den tilldragande på ett annat sätt än när organisationen är svag och i vardande. Nu säger man, att jordbrukarnas organisationsverksamhet är stadd i tillblivelse. Det är en sanning med mycket stor modifikation. Det är i stor utsträckning under de sista åren som jordbrukarnas organisation fullkomnats. Å vissa områden kan man säga, att organisationsarbetet är i huvudsak slutfört. Och dessa organisationer ha hittills uppbyggts på frivillighetens grund. Jag vill också säga, att beträffande en jordbrukare äro möjligheterna att förmå honom till anslutning genom vidtagande av stridsåtgärder ofantligt mycket mera begränsade, än när det gäller att med ekonomiska stridsåtgärder utöva tvång mot arbetare. En jordbrukare har så självständig ställning och så få sårbara punkter, om han har nå-</w:t>
        <w:br/>
        <w:br/>
        <w:t>Ang. lag om vissa ekonomiska stridsåtgärder. (Forts.) got så när ordnad ekonomi, att han kan uthärda snart sagt vilka stridsåtgärder som helst. Och i många av de fall, då en organisation gått till tvångsåtgärder uti ifrågavarande syfte, har det också visat sig, att effekten av aktionen blivit negativ. Det har visserligen uppstått irritation och slitningar mellan olika grupper av lantbrukare, men i de fall, jag känner till, ha de osolidariska, de utanför organisationerna stående, icke genom stridsåtgärder kunnat förmås att uppge sin ställning. Vid sådant förhållande tvekar jag icke att upprepa vad jag sade, att man från jordbrukarhåll överdriver betydelsen av möjligheten att tillgripa tvångsåtgärder för att främja organisationsverksamheten. Och jag betraktar det som ytterst beklagligt, att den tanken vunnit rotfäste hos mina yrkesbröder, att man genom sådana åtgärder skulle främja anslutning till de ekonomiska organisationerna.</w:t>
        <w:br/>
        <w:br/>
        <w:t>Man hör också ofta det påståendet, att de statliga stödåtgärder, som vidtagits under de sista åren till jordbrukets främjande, nödvändiggöra en så fast och omfattande organisation bland lantmännen, att effekten av dessa stödåtgärder skulle äventyras, om icke anslutningen till organisationen blir om möjligt hundraprocentig. Ja, ställa vi oss på den ståndpunkten att kräva en sådan ovillkorlig organisationsplikt bland någon grupp av näringsutövare i landet, bör det tillkomma statsmakterna att genom lag bestämma om sådan anslutning, och det kan icke vara förenligt med sunda rättsprinciper att överlåta åt enskilda sammanslutningar att i det hänseendet utöva exekutiv myndighet. England har en sådan lagstiftning genomförd. Där finnes en lag, som gör det möjligt att från fall till fall genom beslut i viss bestämd ordning lägga vissa produktionsområden under en reglering, som är så stark, att varje producent, som därav beröres, är tvungen att saluföra alla produkter genom organisationen. Denna lag har trätt i tillämpning beträffande en hel del produktionsgrenar i England. De erfarenheter, som vunnits vid lagens tillämpning, visa, att vägen är framkomlig, om behov av så starkt tvång skulle uppkomma. Men för Sveriges vidkommande vågar jag bestämt påstå, att det hittills icke förelegat sådant behov av tvång, utan organisationsarbetet har gått utomordentligt bra ändå.</w:t>
        <w:br/>
        <w:br/>
        <w:t>Nu förutsättes i utskottets motivering, att hela spörsmålet om organisationernas ställning i samhällslivet och lämpligheten av ett anslutningstvång i ena eller andra hänseendet skall göras till föremål för utredning i samband med den stora samhällsfredsutredningen. För vår del betrakta vi en utredning om denna princip som fullständigt överflödig. Vi anse saken klar och vi komma aldrig att av några utredningar låta övertyga oss om, att det är en riktig princip att genom tvång förmå en enskild person att ansluta sig till en organisation. Vi betrakta det som förkastligt och kunna icke komma att ändra mening genom någon utredning.</w:t>
        <w:br/>
        <w:br/>
        <w:t>Nu är det givetvis också i åtskilliga andra hänseenden, som den i utskottets utlåtande förslagna lagen om ekonomiska stridsåtgärder ur våra synpunkter är otillfredsställande. Genom ett bifall till den av herrar Österström och Sam Larsson avgivna reservationen skulle lagen väsentligt förbättras såväl i de av mig berörda hänseendena som också i en del andra. Men utan dessa förbättringar har man anledning att befara, att lagen icke kommer att visa den effekt som man väntar, och som i varje fall vi avsett att vinna genom lagen om skydd för tredje man.</w:t>
        <w:br/>
        <w:br/>
        <w:t>Nu vet jag fuller väl, att det under alla omständigheter vore ganska utsiktslöst att här söka vinna gehör för de synpunkter, som framförts i denna reservation, och under sådana förhållanden hade det allenast varit behövligt att framföra ett beklagande från vår sida över att denna lagstiftning skulle komma att utformas så, att den icke beredde verkligt skydd för dem, som</w:t>
        <w:br/>
        <w:br/>
        <w:t>Ang. lag om vissa ekonomiska stridsåtgärder. (Forts.) vilja stå neutrala i de ekonomiska striderna. Men, som sagt, saken har nu kommit i ett helt nytt läge genom herr statsministerns deklaration, som visserligen icke var så klar och pregnant, som en deklaration från regeringsbänken bör vara i ett ögonblick, då det skulle gälla en regerings liv eller död, men som dock var tillräckligt klar för att man skulle förstå, att vid den blivande voteringen om 1 8 det socialdemokratiska partiet skall med sina röster jämte höger och kommunister bidraga till att lagen faller. Den situationen är ju på många sätt överraskande. Herr statsministern har dessvärre ännu icke avslutat sin lunch, och då nödgas jag säga, vad jag tänkte säga till honom, till de närvarande ledamöterna av kammaren och till protokollet.</w:t>
        <w:br/>
        <w:br/>
        <w:t>Jag tänkte fråga honom, vad denna nya statskonst innebär, som introducerats i och med att regeringen lämnar en proposition i sticket, därför att regeringen icke har lyckats få en enhällig anslutning till densamma från samtliga partier. Ty det är vad som sker: när regeringen kryper bakom utskottets ändringar och tillägg och säger, att dessa äro av den natur, att regeringen icke kan acceptera utskottsförslaget. Det går näppeligen, när man 1 utskottets utlåtande har svart på vitt att flertalet av de socialdemokratiska representanterna yrkat bifall, ehuru med vissa ändringar. Att taga högerns avslagsyrkande här i kammaren till anledning att ändra ståndpunkt kan heller icke gå, ty detta avslagsyrkande var framställt redan 1 utskottet. Det är alltså ingen ny situation, som uppstått i kammaren. Den var könd av regeringen och partiet förut.</w:t>
        <w:br/>
        <w:br/>
        <w:t>Det föreföll av statsministerns yttrande, som om han nu drivit samförståndssträvandet så långt, att han förutsätter fullständig underkastelse från alla meningsriktningar, och att, om sådan underkastelse nekas, får det gå hur det kan. Då har regeringen icke längre intresse att värna om sina förslag. För min del måste jag säga, att det är ett oväntat sätt att behandla en så betydelsefull fråga från denna regerings sida. Det öppnar helt och hållet nya perspektiv för vår framtida parlamentariska verksamhet. Hittills har det varit så, att en regering i ett parlamentariskt styrt land fått nöja sig, om den kunnat få flertal för sina förslag i något så när oförändrat skick. Och vad ändringarna härvidlag beträffar, förklarade herr statsministern i sitt anförande, att han kunde acceptera sådana ändringar i propositionen som icke rubbade dess grundprinciper. Och ingen kan påstå, att grundprinciperna i detta förslag ha rubbats genom att exempelvis stadgandena om behörighetsregler införas, så mycket hellre som dessa stadganden på sin tid icke avvisades av arbetarrörelsens representation. Men nu är det icke tillräckligt att få majoritet utan nu kräves fullständig uppslutning från alla partier. År 1933 fann sig regeringen 1 stånd att acceptera en lösning av de då föreliggande krisspörsmålen med en enkel majoritet i riksdagen. Statsministern frågade då icke efter vad minoriteten önskade. Och så har det varit från fall till fall. Är 1934, då den viktiga frågan om arbetslöshetsförsäkringen förelåg, var det också så, att frågan löstes av en enkel majoritet, under det att en minoritet gick på avslag. Och herr statsministern har så ofta proklamerat, att han och hans regering stödja sig på breda folkgrupper i sin politik. Då måste jag fråga: på vilka grupper kommer regeringen att stödja sig i dag, då den medverkar till att avslå förslaget om lag om vissa ekonomiska stridsåtgärder? Jo, sävitt jag förstår, på en konstellation av höger och kommunister, herrar Hagberg i Luleå och Brädefors, och en betydande del av, kanske hela, regeringspartiet. Efter detta kommer det att te sig underligt, när statsministern kommer att åberopa de stora folkgrupper, som han och hans regering stödja sig på i sin allmänna välfärdspolitik.</w:t>
        <w:br/>
        <w:br/>
        <w:t>För vår del hade vi önskat, att lagen fått en annan avfattning än i utskotts-</w:t>
        <w:br/>
        <w:br/>
        <w:t>förslaget i vissa betydelsefulla punkter, men när vi icke lyckats däri, kunna vi icke tillägna oss samma katastrofteori som statsministern i dag utan måste, då vi icke kunna få det bästa, medverka till det näst bästa. Och av de linjer, som det finnes att välja emellan, är givetvis utskottets förslag det näst bästa, och vi ha varit beredda att acceptera det som ett steg på vägen, och som en grundval, på vilken man kunde bygga, sedan man under de tre åren prövat sig fram. Nu stå vi i den egendomliga situationen, att av dem, som uppbära utskottsmajoritetens förslag, somliga komma att yrka avslag på utskottets hemställan. Den talare, som närmast efter mig kommer att tala, har förklarat, att i varje fall kommer icke han att göra det. För vår del ha vi ingen anledning att, efter vad som hänt i kammaren, ändra ståndpunkt utan förklara oss beredda att ingå i saklig behandling av ärendet, och därför instämmer jag för min del i det yrkande, som gjorts av herr Österström om bifall till I $i det föreliggande lagförslaget.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