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2038</w:t>
      </w:r>
    </w:p>
    <w:p>
      <w:r>
        <w:rPr>
          <w:b/>
        </w:rPr>
        <w:t xml:space="preserve">Datum: </w:t>
      </w:r>
      <w:r>
        <w:t>1935-06-04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5. Staten bidrager till bestridande av skoldistriktens kostnader för tillhandahållande av tjänstebostäder åt lärarpersonalen eller ersättning härför med följande årliga belopp, nämligen för ordinarie manlig folkskollärare 160 kronor, för ordinarie </w:t>
      </w:r>
      <w:r>
        <w:rPr>
          <w:b/>
        </w:rPr>
        <w:t>kvinnlig¹</w:t>
      </w:r>
      <w:r>
        <w:rPr>
          <w:b w:val="0"/>
        </w:rPr>
        <w:t xml:space="preserve"> folkskollärare 120 kronor och för övriga lärare 80 kronor. Har tjänstebostad tillkommit utan kostnad för distriktet, utgår intet tjänstebostadsbidrag. För tjänstebostad, vars uppförande bekostats med bidrag av statsmedel, utgår reducerat statsbidrag på sätt utskottet i det föregående anfört;</w:t>
        <w:br/>
        <w:br/>
        <w:t>2. Staten övertager jämväl hela kostnaden för de författningsenligt utgående kontanta minimiarvodena för lärare i slöjd och hushållsgöromål.</w:t>
        <w:br/>
        <w:br/>
        <w:t>3. Staten lämnar i viss utsträckning understöd för bestridande av skoldistrikts kostnader för avlönande av överlärare. Kungl. Maj:t prövar för varje särskilt fall efter därom av skoldistriktet gjord ansökning, huruvida statsbidrag må utgå. Bidraget utgår med högst hälften av arvodet, dock i intet fall med mera än 1,000 kronor för år och ej, där icke Kungl. Maj:t finner skäl medgiva undantag, för mer än en överlärartjänst inom ett och samma distrikt.</w:t>
        <w:br/>
        <w:br/>
        <w:t>4. I samband med statens övertagande av här ifrågavarande kostnader meddelas följande föreskrifter, som åsyfta att bereda staten ökat inflytande och kontroll med avseende å folkskoleväsendets handhavande.</w:t>
        <w:br/>
        <w:br/>
        <w:t>bn irdng skall så vitt möjligt tillses, att läraren genom förflyttningen icke lider någon minskning i de förmåner, han åtnjutit å den förra tjänsten. I den mån läraren genom förflyttningen går förlustig kommunalt lönetillägg eller tilläggspension, skall ersättning härför beredas läraren av statsmedel. I övrigt skall i här förevarande hänseende gälla vad utskottet i det föregående anfört. För flyttningskostnaderna erhåller läraren ersättning av statsmedel. Beslut om tvångsförflyttning meddelas av Kungl. Maj:t.</w:t>
        <w:br/>
        <w:br/>
        <w:t>c). Sedan preliminärt förslag till tillsättande av lärartjänst av skolråd upprättats, skall statens vederbörande folkskolinspektör avgiva yttrande däröver. Kommer skolrådet vid förslagets slutliga upprättande till annat resultat än folkskolinspektören, skall ärendet hänskjutas till domkapitlet, som då har att upprätta förslaget.</w:t>
        <w:br/>
        <w:br/>
        <w:t>Nu angivna bestämmelser om folkskolinspektörens och domkapitlets medverkan vid förslags upprättande skola ej tillämpas i skoldistrikt, vilka enligt särskilt beslut av Kungl. Maj:t undantagits från den statliga inspektionen.</w:t>
        <w:br/>
        <w:br/>
        <w:t>Då fråga är om tillsättande av överlärartjänst, som icke är förenad med lärartjänst, skall skolöverstyrelsen, sedan skolrådet till överstyrelsen med eget yttrande överlämnat ansökningshandlingarna, angiva de tre sökande, som överstyrelsen finner mest lämpliga, ävensom ordningen dem emellan. Skolrådet har vid meddelande av förordnande å överlärartjänst att välja mellan dem, som skolöverstyrelsen på sätt nu nämnts angivit.</w:t>
        <w:br/>
        <w:br/>
        <w:t>Ar lärartjänst förenad med överlärartjänst, skall, sedan skolrådet avgivit yttrande över de sökande, det tillkomma skolöverstyrelsen att upprätta förslag till lärartjänsten.</w:t>
        <w:br/>
        <w:br/>
        <w:t>c) Innan förslag till tillsättande av lärartjänst upprättas, skall statens vederbörande folkskolinspektör avgiva yttrande, vari han skall angiva de tre sökande, som enligt hans mening äro med hänsyn till befordringsgrunderna mest meriterade, ävensom ordningen dem emellan. Kommer skolrådet vid förslagets upprättande till annat resultat än folkskolinspektören, skall ärendet hänskjutas till domkapitlet, som då har att upprätta förslaget.</w:t>
      </w:r>
    </w:p>
    <w:p>
      <w:pPr>
        <w:pStyle w:val="Heading2"/>
      </w:pPr>
      <w:r>
        <w:t>2. Otto Holmdahl (Högerns riksdagsgrupp, man)</w:t>
      </w:r>
    </w:p>
    <w:p>
      <w:r>
        <w:rPr>
          <w:b w:val="0"/>
        </w:rPr>
        <w:t>Herr talman! Som kammarens ledamöter hava funnit, är till denna punkt I B i förevarande utlåtande fogad en reservation av herr Bergqvist m. fl. Jag skall först tillåta mig att beröra en rent formell synpunkt beträffande denna reservation. Om herrarna ha läst den, hava ni funnit, att den handlar om två olika frågor. I första stycket av reservationen på sidan 95 behandlas tvångsförflyttningen, men fortsättningen av denna reservation handlar om en helt annan sak, nämligen den frivilliga förflyttningen av lärare, och den innehåller förslag om en vidsträckt fullmakt för Kungl. Maj:t att vidtaga en revision av nu gällande författning, åsyftande att möjliggöra och påskynda indragningen av överflödiga lärartjänster.</w:t>
        <w:br/>
        <w:br/>
        <w:t>Jag vill, herr talman, fästa uppmärksamheten vid att när det gäller denna reservationens senare del, frågan om den frivilliga förflyttningen, föreligger det ingen meningsskiljaktighet mellan utskottsmajoriteten och reservanterna. Det är av rent formella skäl som dessa stycken kommit med, som ha sin fulla motsvarighet i uttalandena i utskottets utlåtande på sidorna 77 och 78. Jag har alltså ingen anledning att här som reservant taga upp frågan om utskottets förslag rörande revision av bestämmelserna om den frivilliga förflyttningen. Jag kommer likväl att i samband med frågan om tvångsförflyttning beröra denna sak, men jag har tillåtit mig, herr talman, fästa uppmärksamheten vid detta förhållande för att ingen oklarhet skall råda. Jag vill ännu en gång understryka, att reservanternas uppfattning i vad det gäller frågan om frivillig förflyttning är i sak identisk med utskottsmajoritetens, så att där föreligger icke och har icke förelegat någon meningsskiljaktighet.</w:t>
        <w:br/>
        <w:br/>
        <w:t>Jag övergår sedan till den punkt, där det föreligger sådan meningsskiljaktighet, punkten om tvångsförflyttning av lärare i folkskolan. Som kammaren vet, har ju denna del av den kungliga propositionen väckt särskild uppmärksamhet och framkallat icke så liten diskussion. Jag måste som en allmän anmärkning rörande denna diskussion säga, att man i allmänhet och företrädesvis, efter vad jag funnit, har sett denna fråga om tvångsförflyttningsinstitutets genomförande för folkskolans lärarkår såsom framför allt en folkskollärarkårens fråga. Jag vill visst icke bestrida, att man även från den synpunkten kan rikta fullt lojala och befogade invändningar mot detta förslag. Men vad jag här först och främst vill framhålla är, att frågan om tvångsförflyttning för folkskolans lärarkår måste ses ur en helt annan och mycket vidare synpunkt än denna. Frågan om detta instituts genomförande måste enligt min mening framför allt ses ifrån synpunkten av folkskolans hävdvunna ställning 1 vårt land såsom en kommunens, en församlingens skola. Man måste se frågan från den betydligt vidare synpunkten av folkskolan såsom ett av de huvudeentra, som sedan gammalt ha samlat det kommunala intresset och de kommunala krafterna, och detta just därför att folkskolan varit församlingens och bygdens egen skola.</w:t>
        <w:br/>
        <w:br/>
        <w:t>Vår svenska folkskola kan om några år fira sitt hundraårsjubileum som obligatorisk barndomsskola i vårt land. Den utveckling, som vår folkskola har genomlupit under denna i vårt gamla kulturland relativt korta tidsperiod,</w:t>
        <w:br/>
        <w:br/>
        <w:t xml:space="preserve">har varit på det intimaste förbunden just med folkskolans ställning som församlingens och kommunens skola och med </w:t>
      </w:r>
      <w:r>
        <w:rPr>
          <w:b/>
        </w:rPr>
        <w:t>hennes²</w:t>
      </w:r>
      <w:r>
        <w:rPr>
          <w:b w:val="0"/>
        </w:rPr>
        <w:t xml:space="preserve"> förankring i det kommunala intresset. Har man aldrig så litet kännedom om vår svenska folkskolas historia, vet man, att det är just det lokala intresset, det kommunala målsmanskapet och känslan av ansvar för denna skola, som utgjort en av de starkaste hävstängerna i den svenska folkskolans utveckling. Och när vi se på vår folkskolas nuvarande ställning, måste vi nog vara ense om att det är ett i stort sett mycket hedrande och vackert kapitel i den svenska kommunala självstyrelsens historia, som handlar om denna insats för folkskoletankens realiserande. Enligt min bestämda övertygelse är det alltså så, herr talman, att en av de viktigaste förutsättningarna för folkskolans lyckosamma utveckling är, att </w:t>
      </w:r>
      <w:r>
        <w:rPr>
          <w:b/>
        </w:rPr>
        <w:t>hon²</w:t>
      </w:r>
      <w:r>
        <w:rPr>
          <w:b w:val="0"/>
        </w:rPr>
        <w:t xml:space="preserve"> fullt ut får åtnjuta stödet av det kommunala och lokala intresset.</w:t>
        <w:br/>
        <w:br/>
        <w:t>När jag fäst uppmärksamheten vid denna synpunkt, herr talman, har jag i själva verket endast understrukit en synpunkt, som departementschefen med mycket eftertryck har framhållit i sitt uttalande till statsrådsprotokollet. Departementschefen betonar däri, att när han hade att överväga gränsen i fråga om överflyttningen av utgifterna för folkskoleväsendet från kommunen till staten. har han beaktat just den synpunkten, att man vid denna överflyttning icke får väsentligen försvaga församlingens och kommunens intresse och ansvar för skolan. Departementschefen har som sin mening uttalat, att skolans förankring i den kommunala intressesfären alltjämt är en livsnerv för den svenska folkskolan. Men, herr talman, är den uppfattningen riktig, följer därav enligt mitt sätt att se, att man icke utom i trängande fall bör vidtaga sådana förändringar i de hävdvunna formerna för folkskolans styrelse och dess ställning överhuvud, som kunna förändra skolans ställning i nyss berörda hänseende, och som kunna försvaga det kommunala ansvaret och intresset för skolan. Och det är så mycket viktigare, att man icke vidtager sådana åtgärder utan trängande skäl vid en tidpunkt och i ett sammanhang, då man ser sig nödsakad att överflytta en väsentligt större del av kostnaderna för skolväsendet på staten och därmed också måste genomföra ett större statligt inflytande på hela folkskoleväsendet. Det är ju allas vår mening, att detta är nödvändigt med hänsyn till kommunernas tryckta ekonomiska ställning. Och denna överflyttning av kostnaderna på statens budget från den kommunala budgeten för med nödvändighet med sig ökat statligt inflytande, ökad statlig kontroll etc.. över folkskoleväsendet. Det innebär med andra ord, mina herrar, tyvärr ett försvagande så att säga av kommunernas gamla hävdvunna inflytande och ansvar och målsmanskap över skolan. Det är därför framför allt i detta sammanhang så mycket mera önskvärt, att man icke, därest det icke är absolut nödvändigt, samtidigt vidtager andra åtgärder, som verka i samma riktning försvagande på skolans ställning som kommunal institution. Och jag har icke, herr talman, kunnat komma till någon annan uppfattning, då det gäller förslaget om tvångsförflyttning, än att denna fråga berör en mycket känslig punkt, då det gäller skolans ställning inom kommunen och i församlingen. Vi veta ju alla, att lärartillsättningarna med rätta tilldraga sig ett stort intresse, då folkskolans lärare tillsättas genom fritt val av församlingen eller av kommunens representation. Att genomföra en åtgärd, som dock i princip så småningom skulle komma att förändra lärarkårens ställning och, trots att denna fortfarande skulle stå under det kommunala målsmanskapet. dock i allt flera fall komme att möjliggöra och nödvändiggöra statens ingripande vid lärartillsättningarna, det är enligt min mening att röra vid kanske en av de känsligaste punkterna, då det gäller folkskolans hävdvunna ställning som kommunal institution.</w:t>
        <w:br/>
        <w:br/>
        <w:t>Vi känna ju alla det mycket allvarliga läge, som har motiverat detta förslag om tvångsförflyttning. Det är det sjunkande barnantalet. Det är det därav föranledda överflödet på lärartjänster, det är det på grund därav starkt framträdande behovet av en sammandragning av hela vår stora folkskoleorganisation. Vårt land har verkligen här kommit i ett ytterst besvärligt läge. Statsmakterna stå inför ytterst invecklade organisatoriska problem, för vilkas lösande man måste vidtaga extra åtgärder. Man måste på allt sätt befrämja indragning av dessa överflödiga tjänster. Det är kammarens ärade ledamöter säkerligen bekant, att man också har vidtagit ganska resoluta åtgärder i detta avseende. Jag erinrar om den ändring i folkskolestadgan, som vidtogs 1932, och som avsåg att garantera den omsorgsfullaste prövning vid återbesättandet av lediga lärartjänster just för att undersöka, huruvida tjänsten behöver upprätthållas eller icke. Jag erinrar också om den författning, som kom ut sommaren 1933, och som avsåg att begränsa ansökningsrätten till lediga tjänster för att till dessa kunna överflytta lärare, som sitta på överflödiga tjänster. Jag måste instämma i det uttalande, som departementschefen gjort, och som även utskottet gör, angående de förhoppningar, man hyst beträffande verkan av denna författning. Dessa förhoppningar hava ännu icke infriats; man har tvärtom missräknat sig på verkan av författningen. Men jag vill erinra om att denna författning dock praktiskt taget har trätt i tillämpning först under år 1934. Jag skall icke ingå på orsakerna till att författningen icke haft den effektivitet, som man förväntat. Jag vill blott säga det, att detta beror bl. a. på en viss motsträvighet från många skoldistrikts sida; det beror också i andra fall på en viss motsträvighet från lärarnas sida, vare sig denna berott på ovilligheten att underkasta sig de kostnader, som den frivilliga förflyttningen har medfört, eller på andra skäl.</w:t>
        <w:br/>
        <w:br/>
        <w:t>I nuvarande situation med dessa många överflödiga lärartjänster, som kosta statsverket betydande belopp, måste man enligt mitt sätt att se inrikta sig på omedelbara åtgärder för att om möjligt påskynda indragningen av dessa överflödiga tjänster. Och jag kan icke se annat, än att man under sådana förhållanden till att börja med måste gå den väg, som statsrevisorerna hänvisat till. Statsrevisorerna hava tagit upp hela detta problem och i sin berättelse visat, att verkan av de vidtagna åtgärderna icke varit den önskade. Statsrevisorerna hava pekat på en del omständigheter, som förklara detta, bland annat på den omständighet jag nyss nämnde, nämligen den bristfällighet i författningen, som gör, att när en lärare tvångsförflyttas inom samma skoldistrikt — ty det institutet finnes redan genomfört, att lärare kan förflyttas inom samma skoldistrikt — har staten ålagt kommunen att betala hans flyttningskostnader, men 1 författningen om den frivilliga förflyttningen ifrån ett skoldistrikt till ett annat finns icke någon sådan bestämmelse. Det har man förbisett; i sådana fall får läraren själv vidkännas kostnaderna för förflyttningen. För att underlätta frivilliga förflyttningar föreslå statsrevisorerna, att man skall taga under övervägande, att lärare, som på detta sätt söka och erhålla tjänst i ett annat skoldistrikt, eller lärare, som förflyttas emedan han sitter på överflödig tjänst, skall få ersättning för sina flyttningskostnader. Utskottet har upptagit detta förslag och föreslår i en senare punkt i utlåtandet, att riksdagen skall besluta, att flyttningsersättning skall utgå till lärare, som vill underkasta sig sådan frivillig förflyttning.</w:t>
        <w:br/>
        <w:br/>
        <w:t>Det finns även en hel del andra punkter i författningen om den begränsade ansökningsrätten och om frivillig förflyttning, som alldeles tydligt ha visat sig behäftade med stora brister. Jag vill endast påpeka en sak, vilken även upptagits av utskottet och reservanterna, och som likaledes berörts av statsre-</w:t>
        <w:br/>
        <w:br/>
        <w:t>visorerna, nämligen den bestämmelsen, att om en tjänst sökes av endast en lärare från överflödig tjänst, så har skoldistriktet utan vidare rätt att åter ledigförklara denna tjänst, och då gäller icke längre den begränsade ansökningsrätten. Detta har tillämpats i en stor mängd fall. Statsrevisorerna hava framhållit, att det icke kan vara i enlighet med statens intressen att, ifall man icke har någon väsentlig anmärkning mot läraren i fråga, han icke blir överflyttad till denna tjänst. Utskottet har också anslutit sig till denna uppfattning och förordat en sådan förändring, att där man icke kan komma med någon mera väsentlig invändning emot den ende sökanden från en överflödig tjänst, skall han överflyttas till tjänsten. I detta fall har utskottet emellertid icke hemställt om omedelbart beslut från riksdagens sida, utan utskottet har funnit, att författningen även på andra punkter kan göras mera effektiv, och föreslagit, att riksdagen ville befullmäktiga Kungl. Maj:t att omedelbart vidtaga de förändringar i författningen om den frivilliga förflyttningen, som kunna bidraga till att göra denna mera effektiv och till att påskynda indragningen av överflödiga tjänster.</w:t>
        <w:br/>
        <w:br/>
        <w:t>Herr talman! Sedan jag givit denna överblick över de åtgärder, som man nu kan enligt min mening vidtaga för att göra indragningen av överflödiga tjänster mera effektiv, skall jag övergå till de båda huvudskäl, som föranlett mig att med hänsyn till min tidigare angivna grundsyn på hela denna fråga för närvarande icke ansluta mig till förslaget om tvångsförflyttning. Det första skälet, och i själva verket kanske det viktigaste, är att genom att genomföra tvångsförflyttningsinstitutet nu åstadkommer man icke någon effektiv åtgärd för att påskynda indragning av överflödiga tjänster under den närmaste tiden. Utskottet säger, att man måste tillgripa effektiva åtgärder för att få dessa överflödiga tjänster snarast möjligt indragna. Jag instämmer fullt och helt däri, men ingen har kunnat påstå, varken utskottet i sitt utlåtande eller andra som yttrat sig, att man med skäl kan göra gällande att genomförandet av tvångsförflyttningsinstitutet nu, och framför allt i den uppmjukade form som utskottet givit detsamma, blir en effektiv åtgärd. Jag menar, att man tvärtom med stor bestämdhet kan säga, att det icke kommer att få någon effekt alls i detta avseende under de närmaste åren. Därför menar jag, att man nu bör kunna avvakta, huru dylika förbättringar, skärpningar och förändringar i författningen om den frivilliga förflyttningen komma att verka under de närmaste åren, innan man vidtar en åtgärd för att införa tvångsförflyttningsinstitutet. Herr talman, jag vill visst icke säga, att jag i detta avseende kan förutspå hurudan verkan kommer att bli, men jag vill bara säga. att om revisionen av författningen om den frivilliga förflyttningen jämte ett beslut om att flyttningskostnader skola betalas skulle komma att visa sig medföra, att ett övervägande antal av dessa överflödiga tjänster kunde indragas under de närmaste åren, då menar jag, att det huvudskäl, som här framförts för att genomföra tvångsförflyttningen, alldeles har förfallit. När det därför icke kan sägas, att tvångsförflyttningen för närvarande är en omedelbart effektiv åtgärd för syftet, och man i alla fall kan och bör räkna med att man kan åstadkomma en snabbare indragning av överflödiga tjänster än hittills, så har man råd så att säga att vila på hanen.</w:t>
        <w:br/>
        <w:br/>
        <w:t>Jag skulle i detta fall icke tillstyrka en sådan cunctatorspolitik, om jag icke — och detta är mitt andra huvudskäl för reservanternas ståndpunkt — hade denna uppfattning om tvångsförflyttningsinstitutets så småningom skeende inverkan på den svenska folkskolans traditionella ställning som en kommunens skola under den kommunala självstyrelsens hägn, och om betydelsen av att bevara denna tradition beträffande den svenska folkskolans ställning. Men</w:t>
        <w:br/>
        <w:br/>
        <w:t>eftersom jag har den uppfattningen, att ett beslut visserligen icke i dag kommer att medföra några större verkningar åt ena eller andra hållet, och att därför för den närmaste tiden farhågorna äro överdrivna beträffande verkan av detta beslut, men det i alla fall successivt genomför en ändrad ställning för folkskollärarkåren och folkskolan, allt eftersom ett större antal och slutligen hela lärarkåren faller in under detta tvångsförflyttningsinstitut, så har jag, herr talman, funnit mig böra för närvarande avstyrka förslaget om tvångsförflyttningen. Det kommer i alla fall successivt och så småningom att bidraga till en förändring av folkskolans ställning som kommunal institution under den kommunala självstyrelsens hägn.</w:t>
        <w:br/>
        <w:br/>
        <w:t>Ja, herr talman, detta har varit de skäl som ha gjort. att oaktat jag mycket väl beaktar och förstår den prekära situation, i vilken vi befinna oss, jag icke för närvarande har velat biträda förslaget om tvångsförflyttningsinstitutets införande i vårt land. Jag menar nämligen, att man bör avvakta verkan av dessa ändrade bestämmelser om den frivilliga förflyttningen, och jag vill till sist säga, att skulle man efter några år finna, att verkan fortfarande icke är tillfredsställande av dessa åtgärder, då, herr talman, menar även jag, att man bör ta upp frågan om tvångsförflyttningens införande till förnyad prövning.</w:t>
        <w:br/>
        <w:br/>
        <w:t>Med dessa ord, herr talman, tillåter jag mig att yrka bifall till den av herr Bergqvist m. fl. anförda reservationen vid denna punkt.</w:t>
        <w:br/>
        <w:br/>
        <w:t>I detta anförande instämde herrar Pehrsson i Göteborg, Wallerius, Petersson 1 Lerbäcksbyn, Sandström, Lindskog och Arnemark.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