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775</w:t>
      </w:r>
    </w:p>
    <w:p>
      <w:r>
        <w:rPr>
          <w:b/>
        </w:rPr>
        <w:t xml:space="preserve">Datum: </w:t>
      </w:r>
      <w:r>
        <w:t>1936-05-06</w:t>
      </w:r>
    </w:p>
    <w:p>
      <w:r>
        <w:rPr>
          <w:b/>
        </w:rPr>
        <w:t xml:space="preserve">Kammare: </w:t>
      </w:r>
      <w:r>
        <w:t>Första kammaren</w:t>
      </w:r>
    </w:p>
    <w:p>
      <w:r>
        <w:rPr>
          <w:b/>
        </w:rPr>
        <w:t xml:space="preserve">Antal yttranden: </w:t>
      </w:r>
      <w:r>
        <w:t>4</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Edgar Sjödahl (Socialdemokraterna, man)</w:t>
      </w:r>
    </w:p>
    <w:p>
      <w:r>
        <w:rPr>
          <w:b w:val="0"/>
        </w:rPr>
        <w:t>Ja, herr talman, jag tycker, att denna anmärkning, som herr Sandegård har riktat mot första kammarens första tillfälliga utskott, rätteligen borde ha uttalats vid ärendets behandling i andra kammaren gent emot det utskottsutlåtande, som där förelåg, men jag tror, att man inte ens där med rätta hade kunnat framföra den anmärkning, som herr Sandegård gjort. Ty visserligen kan det ur en enskild riksdagsmans synpunkt vara åtskilligt att anmärka mot de svenska läroverken, men huvudsynpunkten i andra kammarens utskottsutlåtande var närmast den, att nu ha läroverken under de sista åren gång på gång med mycket korta mellanrum satts under omorganisation, och det skulle vara lämpligare och lyckligare för läroverkens arbete, att de finge arbeta i ro under en given organisation åtminstone några år framåt. Arbetsro är faktiskt någonting, som man också har behov av vid läroverken, och jag för min del gillar helt och fullt andrakammarutskottets mening, att man därför inte nu borde gå in på ytterligare utredningskrav rörande deras inre arbete.</w:t>
        <w:br/>
        <w:br/>
        <w:t>Vad vidare beträffar de andra punkterna 1 motionen är det så, att de redan ligga under utredning, och man väntar ett ställningstagande från olika myndigheters sida mycket snart. Den punkt, som man här tagit upp, rör en fråga, som mycket ofta har varit under debatt. Detta spörsmål om elevantalet vid läroverken är nog en synnerligen viktig eller rent av avgörande fråga, vars lösning inte behöver leda till att det inre arbetet vid läroverken på något sätt oroas, utan som tvärtom kan göra det effektivare.</w:t>
        <w:br/>
        <w:br/>
        <w:t>Om jag uppfattat herr Sandegård rätt, har från hans sida inte gjorts något yrkande. Herr talman, jag ber att få yrka bifall till utskottets utlåtande.</w:t>
        <w:br/>
        <w:br/>
        <w:t>1 Helsingfors år 1895 av finska föräldrar, att han i Finland den 24 september</w:t>
        <w:br/>
        <w:br/>
        <w:t>1918 av statsförbrytelsedomstolen dömts för att han i mitten av februari 1918</w:t>
        <w:br/>
        <w:br/>
        <w:t>frivilligt anslutit sig till Helsingfors röda garde samt därefter beväpnad full-</w:t>
        <w:br/>
        <w:br/>
        <w:t>gjort vakttjänst och deltagit i strider mot den finska regeringens trupper även-</w:t>
        <w:br/>
        <w:br/>
        <w:t>som för att han den 20 mars 1918 varit med om att tillsammans med andra</w:t>
        <w:br/>
        <w:br/>
        <w:t>män från samma garde transportera av de röda tillfångatagna elever från</w:t>
        <w:br/>
        <w:br/>
        <w:t>samt på denna färd mellan Toijala och Tittala stationer deltagit i mördandet</w:t>
        <w:br/>
        <w:br/>
        <w:t>av nämnda elever, varvid sökanden själv med sin revolver nedskjutit åtmin-</w:t>
        <w:br/>
        <w:br/>
        <w:t xml:space="preserve">» Utskottet finner det icke vara förenligt med rikets intressen, att en person med så nära förbindelser med en främmande makts organ här i riket, att han är anställd i dess tjänst, och i det beroende av utländsk makts representanter, som härigenom blir en följd, erhåller de särskilda förmåner och friheter, som svenskt medborgarskap innebär. Betänkligheterna däremot ökas, när, såsom i föreliggande fall, sökanden innehar en synnerligen långvarig anställning vid den främmande maktens handelsdelegation och jämväl hans </w:t>
      </w:r>
      <w:r>
        <w:rPr>
          <w:b/>
        </w:rPr>
        <w:t>hustru²</w:t>
      </w:r>
      <w:r>
        <w:rPr>
          <w:b w:val="0"/>
        </w:rPr>
        <w:t xml:space="preserve"> är 1 sådan tjänst anställd.</w:t>
        <w:br/>
        <w:br/>
        <w:t>Utskottet finner det likaledes synnerligen anmärkningsvärt, att föredragande departementschefen i trots av bestämmelsen i 5 8 medborgarskapslagen, att svenskt medborgarskap endast kan vinnas av den, som ”gjort sig känd för hederlig vandel', tillstyrkt svenskt medborgarskap för sökanden. Den nämnda föreskriften är enligt lagen indispensabel. Av förarbetena till lagen (konstitutionsutskottets utlåtande nr 15/1923 sid. 10 f. och propositionen nr 137/1924 sid. 32) framgår vidare otvetydigt, att även om intet ofördelaktigt är känt om en person under dennes vistelse här i landet, dennes vandel dessförinnan dock kan vara sådan, att den bör anses utgöra ett ovillkorligt hinder för bifall till en ansökan om svenskt medborgarskap. Sådana omständigheter föreligga efter utskottets mening i det nu förevarande medborgarskapsärendet, då handlingarna uppenbarligen utvisa, att han, såsom av utslag av statsförbrytelsedomstolen i Finland framgår, under fångtransport mördat tre tillfångatagna, namngivna personer.</w:t>
        <w:br/>
        <w:br/>
        <w:t>På grund av vad sålunda anförts har utskottet beslutat anmärkning mot föredragande departementschefen, statsrådet Schlyter, vilket utskottet får för riksdagen anmäla.»</w:t>
      </w:r>
    </w:p>
    <w:p>
      <w:pPr>
        <w:pStyle w:val="Heading2"/>
      </w:pPr>
      <w:r>
        <w:t>2. Karl Schlyter (Socialdemokraterna, man)</w:t>
      </w:r>
    </w:p>
    <w:p>
      <w:r>
        <w:rPr>
          <w:b w:val="0"/>
        </w:rPr>
        <w:t>Herr talman! &lt;Konstitutionsutskottets första anmärkning gäller ett på min föredragning av Kungl. Maj:t fattat beslut om upptagande till svensk medborgare av en finsk undersåte. Jag ber nu att i denna kammare få avgivna samma förklaring som förut i dag av mig avgivits 1 den andra kammaren.</w:t>
        <w:br/>
        <w:br/>
        <w:t>Jag medger gärna att den diskuterade medborgarrättsfrågan varit tveksam och svår att avgöra, ja, jag kan till och med förstå dem som anse att den icke varit tveksam alls. Det är mig så mycket lättare att lämna detta medgivande, som jag själv, delvis på de skäl som K. U. anfört, såsom föredragande departementschef för tre år sedan medverkade till ett avslag i konseljen på samme sökandes då gjorda ansökan om svensk medborgarrätt.</w:t>
        <w:br/>
        <w:br/>
        <w:t>Men sökanden kom igen och envisades att han var oskyldig till det mord</w:t>
        <w:br/>
        <w:br/>
        <w:t>Ang. viss finsk undersåtes upptagande till svensk medborgare. (Forts.) för vilket han dömts av den finska s. k. statsförbrytelsedomstolen på grund av sitt deltagande på den röda sidan i det finska inbördeskriget. Och jag, som visste att det t. o. m. i vårt eget land under djupaste fredstid, trots vårt grundliga, med alla tänkbara garantier för att en oskyldig åtalad icke skall bli fälld utrustade rättegångsförfarande, understundom kan inträffa att våra ordinarie domstolar döma en tilltalad till strängt straff, som sedan upphäves av hovrätt eller högsta domstolen — jag blev efter att ha hört hans framställning undrande, om det kunde vara riktigt att i förevarande sammanhang fästa avgörande vikt vid ett utslag av en utländsk extraordinär krigsdomstol, som efter ett summariskt förfarande hade att avverkade massor av åtal mot personer vilka 1 inbördeskriget stått på den motsatta sidan. Följden blev att jag personligen kom att ägna detta ärende mera tid och arbete än något av de övriga 2,000 medborgarrättsärenden, som ankommit på Justitiedepartementets prövning under dessa fyra år. Jag är därför också i alldeles särskilt hög grad, oberoende av 1 ärendet avgivna skriftliga utlåtanden, ensam ansvarig för dess utgång.</w:t>
        <w:br/>
        <w:br/>
        <w:t>Med de utredningsresurser som stå en departementschef till förfogande kunde jag ganska snart konstatera att sökanden under sin 17-åriga vistelse här i landet gjort sig känd för en synnerligen hedrande vandel, och att den uppgift som från något håll framkommit, att han vid en viss tidpunkt skulle varit en av dem som omhänderhaft den kommunistiska propagandan i Sverige, var ovederhäftig. Detta senare förhållande framgår ju också av överståthållarämbetets i ärendet avgivna utlåtande därom, att sökanden icke, sedan han inkommit till Sverige, såvitt för ämbetet vore känt, låtit sig komma till last något förhållande som skulle utgöra hinder för bifall till ansökningen.</w:t>
        <w:br/>
        <w:br/>
        <w:t xml:space="preserve">Återstod frågan huruvida den omständigheten att sökanden sedan åtskillig tid tillbaka varit anställd såsom vaktmästare vid en utländsk makts handelsdelegation i Stockholm borde utgöra hinder för bifall till ansökningen. TI detta avseende ansåg jag särskilt den synpunkt böra beaktas, huruvida tillhörighet till främmande nationalitet utgjorde en förutsättning för anställningen hos den främmande maktens organ. I dylikt fall anses nämligen den tid vederbörande haft anställning här i riket hos sitt eget lands representation icke böra inräknas i den tid han enligt medborgarrättslagen bör ha vistats i Sverige för att kunna erhålla svensk medborgarrätt. Nu förhöll det sig emellertid så, att dels sökanden haft anställning hos främmande makt av annan nationalitet än den han själv tillhörde, dels anställningen var av sådan art att den lika gärna kunde innehafts av en svensk medborgare. Förhållandet var icke annorlunda än om en dansk medborgare, som under en mångårig vistelse här i landet gjort sig känd för en hederlig vandel, haft anställning på låt oss säga den tyska legationen eller det tyska generalkonsulatet såsom vaktmästare. Jag tror icke att någon justitieminister skulle ha tvekat att föreslå en dylik person till svensk medborgare, även om hans </w:t>
      </w:r>
      <w:r>
        <w:rPr>
          <w:b/>
        </w:rPr>
        <w:t>hustru²</w:t>
      </w:r>
      <w:r>
        <w:rPr>
          <w:b w:val="0"/>
        </w:rPr>
        <w:t xml:space="preserve"> varit hemeller kontorsbiträde hos det främmande organet.</w:t>
        <w:br/>
        <w:br/>
        <w:t>Och det är naturligtvis icke heller på denna anställning — vilken sökanden för övrigt numera icke lär innehava — som utskottsmajoriteten fäster det huvudsakliga avseendet. Utskottet trycker i stället särskilt på, att sökandens vandel innan han för 17 år sedan kom till Sverige varit sådan att den bort utgöra ett ovillkorligt hinder för bifall till hans ansökan om svenskt medborgarskap.</w:t>
        <w:br/>
        <w:br/>
        <w:t>Jag har redan antytt att jag icke kunnat låta den avkunnade utländska straffdomen vara avgörande för mitt bedömande av ärendet. Prövningen av den fråga jag sålunda haft att taga ställning till är uppenbarligen av alldeles för delikat art för att den skulle lämpa sig för diskussion 1 kammaren. Jag</w:t>
        <w:br/>
        <w:br/>
        <w:t>Ang. viss finsk undersåtes upptagande till svensk medborgare. (Forts.) kommer icke heller att inlåta mig på skälen för och emot sökandens brottslighet eller på det närmare händelseförloppet vid tillfället i fråga för 18 år sedan, sådant jag uppfattat det. Sökandens version är att han vid tillfället tillhörde en trupp rödgardister, som på militärtåg transporterades från huvudstyrkan 1 trakten av Tammerfors söderut mot fronten. Ett antal vita fångar upptogos på tåget vid en mellanstation; några av dem nedskötos vid ett försök att fly från det i gång varande tåget, men sökanden, som befann sig i vagnen bakom den i vilken fångarna transporterades, deltog icke i skottlossningen. Sedan sökandens hela trupp tillfångatagits av de vita och ställts till ansvar, hade bland andra sökanden dömts för mord efter vittnesmål av några av de vita fångarna, som på fråga påstått sig igenkänna sökanden.</w:t>
        <w:br/>
        <w:br/>
        <w:t>Däremot kan utskottet uppenbarligen ställa sig på den ståndpunkten, att en utländsk extraordinär domstols utslag i ett brottmål ovillkorligen skall respekteras här i landet. Härutinnan har jag då endast att anmäla en avvikande mening.</w:t>
        <w:br/>
        <w:br/>
        <w:t>Likaså kan utskottet naturligtvis göra gällande, att över huvud ett deltagande i det finska inbördeskriget på den röda sidan innebar en så ohederlig vandel, att den som gjort sig skyldig därtill faller under den indispensabla bestämmelsen i 5 8 medborgarskapslagen. På grund härav har sökanden ju också av den finska statsförbrytelsedomstolen dömts för högförräderi.</w:t>
        <w:br/>
        <w:br/>
        <w:t xml:space="preserve">För min del kan jag icke tillmäta sökandens deltagande i det finska medborgarkriget denna verkan. Med hänsyn till de omständigheter, under vilka sökanden inkom i landet, har det emellertid för mig stått alldeles klart att fråga om hans upptagande till svensk medborgare icke borde komma under prövning förrän han vistats här åtskilligt längre tid än den normala. Hur lång tid man sedan skulle fordra, kan vara föremål för delade meningar. Mina undersökningar före ärendets avgörande, när jag nu för andra gången hade att pröva ansökningen, hade givit mig den uppfattning att ett ytterligare uppskov skulle inneburit en oskälig hårdhet mot sökanden och hans </w:t>
      </w:r>
      <w:r>
        <w:rPr>
          <w:b/>
        </w:rPr>
        <w:t>hustru²</w:t>
      </w:r>
      <w:r>
        <w:rPr>
          <w:b w:val="0"/>
        </w:rPr>
        <w:t>, vilka på grund av en djupt tragisk nationell konflikt fått uppgiva sitt gamla fosterland och söka sig ett nytt hos ett närstående folk, där de hunnit leva sig in så, att de fullständigt försvenskats. Det var mig omöjligt att inse, att ett bifall till framställningen skulle strida mot svensk lag eller att något svenskt intresse därigenom skulle läderas.</w:t>
      </w:r>
    </w:p>
    <w:p>
      <w:pPr>
        <w:pStyle w:val="Heading2"/>
      </w:pPr>
      <w:r>
        <w:t>3. Sten Stendahl (Högerns riksdagsgrupp, man)</w:t>
      </w:r>
    </w:p>
    <w:p>
      <w:r>
        <w:rPr>
          <w:b w:val="0"/>
        </w:rPr>
        <w:t>Herr talman! Det är i fråga om behandlingen av medborgarrättslagen allmänt bekant, att det förslag till lag, som Kungl. Maj:t på sin tid presenterade riksdagens kamrar, innehöll en bestämmelse, att den sökandes hedrande vandel under hans vistelse i Sverige skulle vara det, som man i första hand eller så gott som uteslutande skulle taga hänsyn till. Konstitutionsutskottet ansåg emellertid, att den bestämmelsen inte var tillräcklig, och på hemställan av konstitutionsutskottet skärpte riksdagen bestämmelsen så till vida, att man för att en ansökan om svenskt medborgarskap skulle kunna bifallas även skulle fordra, att sökandens vandel tidigare, d. v. s. i hans hemland, hade varit hedrande.</w:t>
        <w:br/>
        <w:br/>
        <w:t>Frågan är således nu, huruvida denna bestämmelse i gällande lag har iakttagits eller icke. För att bedöma den saken har man att gå till akten jämte statsrådsprotokollet. I konstitutionsutskottet har man vid bedömandet av frågan, om man skall göra anmärkning eller inte, endast enligt grundlagen bestämmelser att hålla sig till statsrådsprotokoll plus akten i den form, vari den föreligger. Jag tar för givet, att statsrådet inte vill bestrida, att när konstitutionsutskottet har att taga ståndpunkt till frågan om anmärkning eller icke anmärkning enligt en viss dossier, måste man förutsätta, att vederböran-</w:t>
        <w:br/>
        <w:br/>
        <w:t>Ang. viss finsk undersåtes upptagande till svensk medborgare. (Forts.) de statsråd också har givit sitt råd på basis av akten och ingenting annat än akten — eventuellt med den diktamen till statsrådsprotokollet, som han finner lämpligt att göra. Det förefaller mig, som om det skulle vara tämligen ostridigt, att allt tal därutöver är någonting fullständigt ovidkommande ärendets behandling. Frågan är då: vad finnes det i statsrådsprotokollet, och vad finnes 1 akten? I statsrådsprotokollet finnes ingenting annat än beslutet. I akten finnes det en officiellt vidimerad avskrift från vederbörande myndigheter av den finska domstolens dom över denne man, som går ut på, att han för tredubbelt mord å värnlösa fångar har blivit dömd till döden. Något bestridande av att detta skulle vara riktigt finnes inte i akten, liksom inte heller i statsrådets motivering i protokollet. Vi i utskottet hade således att gå ut ifrån, såsom ett faktum, att den lagakraftvunna dom, som fällts av finsk domstol, är det enda, som här är konstaterat, och ostridigt. Utskottsmajoriteten har en mycket stadgad uppfattning av att personer, som gjort sig skyldiga till handlingar av den art, som enligt akten ha begåtts av mannen i fråga, icke äro önskvärda som svenska medborgare, och på grund därav ha vi också den bestämda uppfattningen, att statsrådets råd till Konungen i detta fall borde ha blivit precis det motsatta mot vad det blev. Personligen vågar jag uttala den förhoppningen efter statsrådets yttrande här, att ett upprepande av någonting dylikt inte kommer att ske i statsrådets tid åtminstone.</w:t>
      </w:r>
    </w:p>
    <w:p>
      <w:pPr>
        <w:pStyle w:val="Heading2"/>
      </w:pPr>
      <w:r>
        <w:t>4. Wilhelm Källman (Socialdemokraterna, man)</w:t>
      </w:r>
    </w:p>
    <w:p>
      <w:r>
        <w:rPr>
          <w:b w:val="0"/>
        </w:rPr>
        <w:t>Herr talman! Vi, som äro reservanter mot konstitutionsutskottets anmärkning i denna del, ha fått lida mycken smälek genom uttalanden i den svenska borgerliga pressen. När man diskuterar denna sak, får man emellertid först överväga huruvida begreppet »hederlig vandel» hänför sig även till tiden innan vederbörande kom in 1 landet eller om man har att räkna endast med vad som förekommit under den tid han vistats inom riket.</w:t>
        <w:br/>
        <w:br/>
        <w:t>Beträffande den första frågan är det nog inte uteslutande så, att man är nödsakad att vid bedömandet av frågan taga hänsyn till den finska statsförbrytelsedomstolens avkunnade dom. När man läser utlåtandet — vi ha ju tillgång till flera handlingar än vad som äro omnämnda 1 utskottets utlåtande — finner man omtalat bland annat, att domstolen har ansett, att av undersökningen framgått, att mannen gjort sig skyldig till brottsliga handlingar mot statsmakten, likaså att han nedskjutit 3 elever från Mustiala jordbruksskola. En svensk domstol lär väl i regel ha funnit, att det eller det är riktigt. Här talas det om att man ansett, att av undersökningen har framgått det och det. Detta förklaras väl därav, att den ifrågavarande domstolen var tillfällig och utan tvivel kom att döma mycket summariskt i den brådska, som jag föreställer mig kom att utmärka domstolens arbete. Jag erinrar om att fyra vittnen uppgivas ha fått ersättning — det står i utslaget — men man får inte veta vad de ha vittnat. Det har blivit upplyst här, att de trott sig igenkänna den ifrågavarande personen. Under så märkliga förhållanden, som i sådant sammanhang kunna äga rum, skulle en svensk domstol säkert inte ha nöjt sig med den handläggning som förekommit här. Vi veta nog alla, att övergrepp begingos under de tråkiga förhållanden, som rådde i Finland under inbördeskriget, och vi, som levde med i den politiska världen då, hade nog tillfälle litet var här 1 Sverige att beklaga vad som skedde. De övergrepp, som förekommo, härledde sig inte endast från den ena sidan, utan från båda. Grymheterna voro inte mindre från den andra sidan. Jag har i konstitutionsutskottet erinrat om ett minne från 1919, då jag hade tillfälle att i Finland höra åtskilliga vittnesbörd från den vita sidan om hur man där behandlade sina tillfångatagna motståndare, och det var inte fråga om någon kärleksfull behand-</w:t>
        <w:br/>
        <w:br/>
        <w:t>Herr Stendahl vill nu, att man skall uteslutande hålla sig till vad vi fått veta i akterna i konstitutionsutskottet. Ja, där finnes ju i alla fall litet mer än vad som är medtaget i konstitutionsutskottets utlåtande. Men därjämte torde det naturligt nog vara tillåtet att också förskaffa sig upplysningar från annat håll, då det som här gäller en rent personlig fråga. Det gäller en individ, om vilken man skall bedöma, huruvida han må kunna upptagas till svensk medborgare enligt de villkor, som äro föreskrivna 1 lagen. Från utskottsmajoritetens sida har man egentligen endast opponerat sig på en punkt, nämligen den, att sökanden inte gjort sig känd för en hedrande vandel. Så vitt jag vet, har ingen bestritt, att inte detta omdöme hänför sig till tiden före hans inflyttande till Sverige, och det är en tid av hela 17 år. Jag vill emellertid, i samband med att jag här talar om den första delen av frågan, erinra, att ifrågavarande person givetvis på det bestämdaste har förnekat, att han gjort sig skyldig till våld mot fångar. Han har således förnekat det, som här är det väsentliga 1 anklagelsen mot honom, och den omständigheten, att han, sedan han blivit dömd, begärt nåd, med åberopande av att han vore oskyldig i detta avseende, och vågat framträda med anhållan om att få straffet efterskänkt, tyder på att han verkligen är det. Det omtalas sålunda i de handlingar i detta ärende, som vi haft inom utskottet, att han begärt nåd efter det han blivit dömd för ett tredubbelt mord. Skulle en person, som mördat 3 personer under de omständigheter, som här äro angivna, ha vågat begära nåd i något land? Efter min uppfattning synes det vara fullkomligt uteslutet.</w:t>
        <w:br/>
        <w:br/>
        <w:t xml:space="preserve">Jag ber också att få säga, att utskottet har tagit hänsyn till allt, som lägges den här mannen till last, men inte alls till vad som kan anses tala till hans förmån. Vi ha i den akt, som finnes tillgänglig för utskottets medlemmar, uppgifter av svenskar, som känt den här ifrågavarande personen sedan länge. Bland annat har en utmätningsman, som för omkring 7 år tillbaka bott i och alltjämt bor i samma hus som den här mannen, intygat, att han och hans </w:t>
      </w:r>
      <w:r>
        <w:rPr>
          <w:b/>
        </w:rPr>
        <w:t>hustru²</w:t>
      </w:r>
      <w:r>
        <w:rPr>
          <w:b w:val="0"/>
        </w:rPr>
        <w:t xml:space="preserve"> voro skötsamma och ordentliga. En kapten har uppgivit, att han känner den här mannen sedan 8—10 år tillbaka, då han blev bekant med honom genom kamratskap inom sportvärlden, och att han alltjämt träffar honom på detta område, men i övrigt inte har umgänge med honom, och denne kapten har fått den uppfattningen, att flyktingen i fråga vore en gedigen och präktig person, som han ansåg sig kunna rekommendera. Ett liknande intyg lämnas av en doktor, som känt honom sedan vistelsen i Finland. En järnvägstjänsteman, som också bor i samma hus som mannen, vitsordar något liknande. Men så kommer en förutvarande tjänsteman i sovjetlegationen och uppgiver, att den ifrågavarande mannen varit en av dem, vilka omhänderhaft den kommunistiska propagandan i Sverige. Det påståendet torde väl vara ganska onödigt att göra, ty om så varit fallet, torde överståthållarämbetet knappast ha kunnat avgiva det utlåtande, som här förekommer. Överståthållarämbetet slutar nämligen sitt yttrande den 15 januari i år med de orden, att sökanden icke — så vitt fö; ämbetet vore känt — låtit sig komma till last något förhållande, som skul” utgöra hinder för bifall till ansökningen.</w:t>
        <w:br/>
        <w:br/>
        <w:t>Ett påstående av en person, som sannolikt i någon mån är jävig, bör således icke anses kunna motbevisa det faktum, att mannen i fråga i varje fall under 17 år här i Sverige gjort sig känd för en särdeles hedrande vandel. I en tidning i går har han själv förklarat följande: »Jag har inte begått det brott man skyller mig för. Jag har deltagit i det finska inbördeskriget på den röda sidan, men jag har icke gjort mig skyldig till våld mot fångar.»</w:t>
        <w:br/>
        <w:br/>
        <w:t>Då återstår den frågan: är den omständigheten, att han deltagit i det finska</w:t>
        <w:br/>
        <w:br/>
        <w:t>Ang. viss finsk undersåtes upptagande till svensk medborgare. (Forts.) inbördeskriget, tillräcklig för ett påstående, att han icke gjort sig känd för en hederlig vandel, innan han inflyttade i riket? Jag vågar sålunda utgå från att detta inte är bevisat trots statsförbrytelsedomstolens dom. Den är säkert mycket summarisk, och vi få taga hänsyn till under vilka tider denna domstol hade att döma. Jag vågar således utgå från, att det inte är bevisat att mannen begått mord. Mannens nådeansökan bland annat ger starkt belägg härför. Då skulle jag vilja fråga herr Stendahl, om den omständigheten, att mannen har deltagit i det finska inbördeskriget, är tillräcklig för påståendet, att han inte skulle vara känd för hedrande vandel. Vi reservanter ha tillåtit oss att anföra följande, som återfinnes i utskottets utlåtande på sid. 26 och som jag till sist vill särskilt framhålla: »Hur grymma än de brott voro, som begingos under inbördeskriget i Finland, kan ingen vinna på att hämndkänslan hålles vid liv genom förföljelse mot de i inbördeskriget deltagande. Inseende detta har man även i Finland under senare år genomfört en omfattande amnesti, och vi finna under sådana förhållanden, att de brott, som personen i fråga må hava gjort sig skyldig till under inbördeskriget för 18 år sedan, icke skäligen längre böra kunna åberopas för att förvägra honom förmånen att bliva upptagen till svensk medborgare.» Sedan frågan varit föremål för en mycket noggrann prövning och en mycket ingående överläggning inom utskottet, detta även med hänsyn till under hand vunna upplysningar, har jag kommit till den uppfattningen, att anmärkningen inte kan vara befogad.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775</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