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2093</w:t>
      </w:r>
    </w:p>
    <w:p>
      <w:r>
        <w:rPr>
          <w:b/>
        </w:rPr>
        <w:t xml:space="preserve">Datum: </w:t>
      </w:r>
      <w:r>
        <w:t>1937-03-15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David Hall (Socialdemokraterna, man)</w:t>
      </w:r>
    </w:p>
    <w:p>
      <w:r>
        <w:rPr>
          <w:b w:val="0"/>
        </w:rPr>
        <w:t>Herr talman! På grund av det beslut, som kammaren nyligen fattat vid punkt 1 av detta utlåtande, må det vara tillåtet att göra överläggningen om denna punkt i viss mån till en fortsättning av den, som ägde rum då.</w:t>
        <w:br/>
        <w:br/>
        <w:t>Det är riktigt, som här erinrats om, att bankoutskottet försökt att uppehålla vissa principer. Utskottet har allvarligt strävat efter dels att försöka skipa rättvisa, dels att iakttaga de formella regler, som i allmänhet böra gälla för pensionsväsendet för att man skall ha några regler att gå efter. Sådana skäl som att vederbörande varit i stort behov av pension och i hög grad gjort sig förtjänta därav, fastän någon formell brist förelegat i hans kompetens, ha ofta fått skjutas åt sidan, därför att man varit rädd för att komma ut allt för långt i fråga om pensionsväsendets utbredning. Det finns i vårt land så många 100,000 medborgare, som ha gjort staten stora tjänster genom sitt arbete men som staten lämnar utan att ge dem någon särskild erkänsla, och detta beror som bekant på att vi måste på någon punkt begränsa pensionsväsendet. Det måste på något sätt avgränsas, så att inte alla kunna ställa krav på staten på annan pension än den som utgår genom den allmänna folkpensioneringen.</w:t>
        <w:br/>
        <w:br/>
        <w:t>Kammaren har genom sitt nyss fattade beslut sagt ungefär det, att när ömmande skäl tala för en pension, bör man bifalla den, även om det är ganska stora formella brister i vederbörandes kompetens. Jag har hört till dem inom utskottet, som vid mer än ett tillfälle förfäktat den meningen, att man skulle se bort ifrån sådana formella brister. Ställer sig riksdagen på den ståndpunkten, så bär det följaktligen inte mig emot på något sätt. Men vi skola komma ihåg, att göra vi det i det ena fallet, få vi lov att göra det även i det andra. Jag befarar, att det beslut, som nyss fattats av kammaren, inte kommer att medföra en sådan förändring i riksdagens inställning. Det är i stället mycket som tyder på, att om det gäller ett pensionsärende för någon, som varit knuten till statstjänst i tjänstemannaställning eller som lärare, då har kammarens hjärta mycket lätt för att vekna. Men när det kommer en gammal utsliten arbetare med i stort sett samma formella brister i sin kompetens för pension, har man inte på långt när så lätt för att säga ja. Fortsätter detta, så betyder det, att var och en, som på något sätt i tjänstemannaställning arbetat åt staten, kommer att bli gynnad, men arbetarpersonalen kommer i långt flera fall att få nej av riksdagen.</w:t>
        <w:br/>
        <w:br/>
        <w:t xml:space="preserve">Jag tror emellertid, att om man vill gå in för de principer, som kammaren nyss har hävdat i beslutet om </w:t>
      </w:r>
      <w:r>
        <w:rPr>
          <w:b/>
        </w:rPr>
        <w:t>fröken²</w:t>
      </w:r>
      <w:r>
        <w:rPr>
          <w:b w:val="0"/>
        </w:rPr>
        <w:t xml:space="preserve"> Lämmerhirt, så har man möjlighet — under förutsättning att man åtminstone lägger ned litet flit på att hålla balansen — att komma den verkliga rättvisan närmare än om man uteslutande håller sig till de formella grunderna. När nu kammaren fattat ett sådant beslut, anser jag följaktligen mig icke kunna vidhålla den ståndpunkt jag intagit i utskottet. Ty jag betraktar kamrarnas samstämmiga beslut : dag i detta pensionsärende som nya signaler, och då jag inte har något emot att statens medel få något rikligare komma dessa fattiga människor till godo, som dock på ett eller annat sätt tjänat staten, så ber jag, herr talman, att få yrka bifall till den av herrar Lovén och Paulsen avgivna reservationen.</w:t>
      </w:r>
    </w:p>
    <w:p>
      <w:pPr>
        <w:pStyle w:val="Heading2"/>
      </w:pPr>
      <w:r>
        <w:t>2. Carl Loven (Socialdemokraterna, man)</w:t>
      </w:r>
    </w:p>
    <w:p>
      <w:r>
        <w:rPr>
          <w:b w:val="0"/>
        </w:rPr>
        <w:t>Herr talman! Avslagsyrkandet från utskottets sida på denna motion baserar sig som synes på, att personen i fråga inte skulle ha tillräckligt lång tjänstetid. Man har räknat litet snålt och kommit till, att han inte har så många år, som erfordras för erhållande av pension. Han har emellertid i nära 16 år varit i verklig statstjänst. Han har under flera år varit vid S. J:s banbyggnader. Man vill visserligen låta påskina, att detta varit entreprenadarbete, men räknar man alldeles så litet välvilligt på hela den tid. han arbetat för statens räkning, kan han dock komma upp till de tjänsteår, som han borde ha för att få denna lilla pension.</w:t>
        <w:br/>
        <w:br/>
        <w:t xml:space="preserve">Utöver vad herr Brädefors och senast herr Gustavson i Västerås sagt skall jag be att få tillägga endast några ord. Är det, som herr Gustavson sade, ömmande i det ena fallet, är det, herr talman, ömmande även i det andra fallet. Är det synd om en gammal </w:t>
      </w:r>
      <w:r>
        <w:rPr>
          <w:b/>
        </w:rPr>
        <w:t>dam²</w:t>
      </w:r>
      <w:r>
        <w:rPr>
          <w:b w:val="0"/>
        </w:rPr>
        <w:t xml:space="preserve">, som varit </w:t>
      </w:r>
      <w:r>
        <w:rPr>
          <w:b/>
        </w:rPr>
        <w:t>lärarinna³</w:t>
      </w:r>
      <w:r>
        <w:rPr>
          <w:b w:val="0"/>
        </w:rPr>
        <w:t xml:space="preserve">, är det lika mycket synd om en gammal rallare, som sitter uppe i Norrland och halvsvälter. Men Stockholmsbänken står alldeles tom nu, och de, som förut talade och röstade för </w:t>
      </w:r>
      <w:r>
        <w:rPr>
          <w:b/>
        </w:rPr>
        <w:t>lärarinnan³</w:t>
      </w:r>
      <w:r>
        <w:rPr>
          <w:b w:val="0"/>
        </w:rPr>
        <w:t xml:space="preserve">, ha nu intet intresse. Men man hade lyckats engagera så många framstående personer, som talade för denna motion, så att den gick igenom i båda kamrarna. Jag skall, herr talman, med mycket stort intresse studera celluloidremsan och se, hur man röstat. Ty trots att myndigheterna gång på gång avslagit </w:t>
      </w:r>
      <w:r>
        <w:rPr>
          <w:b/>
        </w:rPr>
        <w:t>hennes²</w:t>
      </w:r>
      <w:r>
        <w:rPr>
          <w:b w:val="0"/>
        </w:rPr>
        <w:t xml:space="preserve"> framställning om pension, röstade man för</w:t>
        <w:br/>
        <w:br/>
        <w:t xml:space="preserve">att denna pension skulle beviljas. Men nu får man ingen hjälp av generaldirektör Holmdahl i skolöverstyrelsen, ingen hjälp av </w:t>
      </w:r>
      <w:r>
        <w:rPr>
          <w:b/>
        </w:rPr>
        <w:t>fröken²</w:t>
      </w:r>
      <w:r>
        <w:rPr>
          <w:b w:val="0"/>
        </w:rPr>
        <w:t xml:space="preserve"> Hesselgren och allra minst någon hjälp av första kammaren. Men jag vill säga som herr Gustavson sade, att skola vi slå in på denna väg och inte räkna så noga på tjänsteåren, skola vi inte alls bry oss om vad Kungl. Maj:t sagt, utan då skall bankoutskottet tillstyrka pensioner åt alla dessa gamla personer, som behöva pension och böra ha det efter denna dag.</w:t>
        <w:br/>
        <w:br/>
        <w:t>Jag ber, herr talman, att få yrka bifall till min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2093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