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2098</w:t>
      </w:r>
    </w:p>
    <w:p>
      <w:r>
        <w:rPr>
          <w:b/>
        </w:rPr>
        <w:t xml:space="preserve">Datum: </w:t>
      </w:r>
      <w:r>
        <w:t>1937-04-13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Jag begärde ordet när jag hörde herr Lundqvist. Han antydde i dunkla ordalag i början av sitt anförande, att det var underligt att någon anmärkning överhuvud taget kommit fram, och att dessa anmärkningar kommo först sista dagen efter flera månaders arbete. Herr Lundqvist vet lika väl som jag, att förklaringen till detta är den att dessa ärenden inte kommo upp till behandling förrän sista dagen. Hade de kommit något tidigare är det möjligt att det blivit samma resultat. Vi ha alltså följt den kronologiska ordningen.</w:t>
        <w:br/>
        <w:br/>
        <w:t>Sedan antydde herr Lundqvist något om en kompakt majoritet i utskottet, en anspelning alltså på att det nuvarande regeringsunderlaget skulle reflekteras i utskottets arbete. Denna antydan måste jag protestera emot. Den jävas för övrigt genom ett närmare studium av utskottsutlåtandet. Det visar sig nämligen, att utav alla dessa hundratals ärenden som vi granska är det endast i några ytterst få fall man kommit upp till det antal av 8 reservanter, som tydligen enligt herr Lundqvists mening skulle beteckna en mera objektiv granskning. 8 ha sålunda reserverat sig på historien om apoteksvarustadgan, 8 i fråga om en viss utnämning och 7 i fråga om en annan utnämning. I ett främlingsärende finns det 7 reservanter. Hur är det för övrigt? Jo. det finns massor med ensamma reservanter. Herr Lundqvist, som är en mycket nitisk granskare, uppträder i vissa fall fullständigt solo och gör anmärkningar. Därvidlag kan man tydligen tala om en kompakt majoritet — men av vad halt får herr Lundqvist själv bedöma. Ibland har han inte fått med sig en enda kamrat, medan han i fråga om bombflygplanen har fått tre stycken med sig. Man kan inte spela ut detta förhållande som om det skulle finnas en regeringskoalition, som bekämpar herr Lundqvist, ty i så fall skulle regeringsunderlaget ha svällt alldeles oerhört.</w:t>
        <w:br/>
        <w:br/>
        <w:t xml:space="preserve">Vidare vill jag, herr talman, säga några ord med anledning av herr Bergquists påstående, att i ett av de påtalade fallen, vilket gäller en polsk jude som fått medborgarskap, uppgifterna om dennes ohederliga beteende inte äro styrkta. Jag vill dock påpeka, att det sägs om denne man i den omtalade villaaffären, att det visat sig, att hans uppgifter voro oriktiga, och att av hans tillvägagångssätt tydligt framginge, att han vore opålitlig, och att han försökt bedraga H. Detta är inte ett subjektivt omdöme, herr Bergquist, utan ett omdöme från polisrapporten. Jag misstänker, att polisen inte får utslunga sådana beskyllningar utan grund. Det är visserligen sant, att hans </w:t>
      </w:r>
      <w:r>
        <w:rPr>
          <w:b/>
        </w:rPr>
        <w:t>hustru²</w:t>
      </w:r>
      <w:r>
        <w:rPr>
          <w:b w:val="0"/>
        </w:rPr>
        <w:t xml:space="preserve"> inte blivit fälld. Jag har inte sagt, att </w:t>
      </w:r>
      <w:r>
        <w:rPr>
          <w:b/>
        </w:rPr>
        <w:t>hon²</w:t>
      </w:r>
      <w:r>
        <w:rPr>
          <w:b w:val="0"/>
        </w:rPr>
        <w:t xml:space="preserve"> skulle gjort sig skyldig till stöld. Vad vi talat om det är om folk, som på grund av sitt bedrägliga uppträdande inte inger förtroende. I fråga om sådana personer skall man vara återhållsam. Det är detta och ingenting annat som jag velat betona, och jag tror, att en allmän uppfattning stöder den synpunkten.</w:t>
      </w:r>
    </w:p>
    <w:p>
      <w:pPr>
        <w:pStyle w:val="Heading2"/>
      </w:pPr>
      <w:r>
        <w:t>2. Thorwald Bergquist (Folkpartiet, man)</w:t>
      </w:r>
    </w:p>
    <w:p>
      <w:r>
        <w:rPr>
          <w:b w:val="0"/>
        </w:rPr>
        <w:t>Herr talman! Jag är förvånad över det yttrande, herr Hallén fällde nu senast i fråga om det fall, som jag tidigare yttrat mig om. Herr Hallén säger, att i polisrapporten är objektivt utrett, att denne person uppträtt bedrägligt. Till stöd härför åberopade herr Hallén, att detta skulle stå i polisrapporten. Vad som där är intaget är emellertid en berättelse av en person, som var sökandens motpart i en fastighetsaffär. Det relateras i polisrapporten, att denne person sagt detta. Påstår man, att det är objektivt utrett vad som här sägs, ja, då har man inte det ringaste krav på objektivitet, och då tycker jag, att man är inne på minst sagt farliga vägar. Skulle konstitutionsutskottet vilja inaugurera sådana principer i fråga om medborgarskapsrätten tror jag, att det inte skall finnas en enda i denna kammar som är villig att vara med därpå.</w:t>
        <w:br/>
        <w:br/>
        <w:t xml:space="preserve">Vidare sägs det, att </w:t>
      </w:r>
      <w:r>
        <w:rPr>
          <w:b/>
        </w:rPr>
        <w:t>hustrun²</w:t>
      </w:r>
      <w:r>
        <w:rPr>
          <w:b w:val="0"/>
        </w:rPr>
        <w:t xml:space="preserve"> varit nedkallad till polisen såsom misstänkt för stöld. Herr Hallén tycks anse detta vara ett objektivt stöd för att </w:t>
      </w:r>
      <w:r>
        <w:rPr>
          <w:b/>
        </w:rPr>
        <w:t>hustrun²</w:t>
      </w:r>
      <w:r>
        <w:rPr>
          <w:b w:val="0"/>
        </w:rPr>
        <w:t xml:space="preserve"> gjort sig skyldig till stöld. Jag anser det upprörande att framställa sådana påståenden. På det förhållandet att polisen av en eller annan anledning, som vi inte känna till, kallat ned </w:t>
      </w:r>
      <w:r>
        <w:rPr>
          <w:b/>
        </w:rPr>
        <w:t>hustrun²</w:t>
      </w:r>
      <w:r>
        <w:rPr>
          <w:b w:val="0"/>
        </w:rPr>
        <w:t xml:space="preserve"> till förhör skulle vi alltså bygga ett domslut och säga, att denna människa inte gjort sig känd för hedrande vandel!</w:t>
        <w:br/>
        <w:br/>
        <w:t>Jag skulle uppriktigt vilja säga, att det vore beklagligt, om vi i våra domstolar skulle tillämpa sådana principer, som herr Hallén vill lägga på detta ärendes behandling.</w:t>
      </w:r>
    </w:p>
    <w:p>
      <w:pPr>
        <w:pStyle w:val="Heading2"/>
      </w:pPr>
      <w:r>
        <w:t>3. Harald Hallen (Socialdemokraterna, man)</w:t>
      </w:r>
    </w:p>
    <w:p>
      <w:r>
        <w:rPr>
          <w:b w:val="0"/>
        </w:rPr>
        <w:t>Herr talman! Med anledning av herr Bergquists anförande, vill jag uttryckligen betona, att vad som här förekommit inte är en uppgift av antagonisten eller motparten utan en resumé av polisen av vad som 1 fallet förevarit. Så framgår i alla fall av den P. M. i ärendet, som vårt kansli utarbetat. Hur ofta händer det inte, att det framgår av en undersökning, att den och den inte talat sanning utan uppträtt så och så? Att polisen skulle på lösa grunder ha otillbörligt beskyllt denne man för att inte ha lämnat riktiga uppgifter, kan man inte påstå.</w:t>
        <w:br/>
        <w:br/>
        <w:t xml:space="preserve">Vidare har jag inte heller sagt om </w:t>
      </w:r>
      <w:r>
        <w:rPr>
          <w:b/>
        </w:rPr>
        <w:t>hustrun²</w:t>
      </w:r>
      <w:r>
        <w:rPr>
          <w:b w:val="0"/>
        </w:rPr>
        <w:t xml:space="preserve">, som var nedkallad till polisen för att höras om stöld, att </w:t>
      </w:r>
      <w:r>
        <w:rPr>
          <w:b/>
        </w:rPr>
        <w:t>hon²</w:t>
      </w:r>
      <w:r>
        <w:rPr>
          <w:b w:val="0"/>
        </w:rPr>
        <w:t xml:space="preserve"> gjort sig skyldig till stöld. Vad jag ville framhålla var, att totalintrycket av mannen var, att han verkade misstänkt, att han kort och gott tillhörde den sortens folk, som inte inger förtroende. Det är bara detta jag velat betona.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