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2101</w:t>
      </w:r>
    </w:p>
    <w:p>
      <w:r>
        <w:rPr>
          <w:b/>
        </w:rPr>
        <w:t xml:space="preserve">Datum: </w:t>
      </w:r>
      <w:r>
        <w:t>1937-04-13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Wiktor Mårtensson (Socialdemokraterna, man)</w:t>
      </w:r>
    </w:p>
    <w:p>
      <w:r>
        <w:rPr>
          <w:b w:val="0"/>
        </w:rPr>
        <w:t>Herr talman! Bara ett par ord med anledning av herr Sandströms anförande. Herr Sandström gjorde gällande, att det är allt fler och fler företagare här i landet, som de senaste åren ha gått in för att bevilja sina gamla arbetare en liten pension eller ett litet understöd, när de inte orka arbeta längre. Ja, jag är den förste, som vill uttala min stora tillfredsställelse med att företagen ha gått in för detta, och jag vill uttala den förhoppningen, att det icke skall dröja så länge, förrän varenda företagare här i landet har kommit till insikt om, att han bör ge sina gamla arbetare ett ordentligt understöd, när deras arbetskraft är uttömd.</w:t>
        <w:br/>
        <w:br/>
        <w:t xml:space="preserve">Herr Sandström anmärkte sedan på att jag i mitt tidigare anförande i dag hade sagt, att det finns bolag, som inte ha visat samma sociala känsla för sina gamla arbetare. Herr Sandström gör gällande, att dessa företag bara ha sänkt pensionerna eller understödsbeloppen så mycket, att staten icke skulle göra några förtjänster på de utgående pensionsförmånerna. Jag nämnde redan då, att det enligt gällande bestämmelser kan utgå en arbetsgivarepension på 500 kronor till två äkta makar, om båda äro pensionsberättigade, utan att tilläggspensionen minskas. Herr Sandström gjorde gällande, att företagen ännu icke kunna gå in för </w:t>
      </w:r>
      <w:r>
        <w:rPr>
          <w:b/>
        </w:rPr>
        <w:t>hustrupensionering²</w:t>
      </w:r>
      <w:r>
        <w:rPr>
          <w:b w:val="0"/>
        </w:rPr>
        <w:t>. Jag hoppas att man inte får tolka detta herr Sandströms uttalande så, att han anser att 500 kronor om året är en alltför hög pension för en gammal utsliten arbetare.</w:t>
        <w:br/>
        <w:br/>
        <w:t>I samband med herr Sandströms uttalande att pensionsbeloppen icke ha sänkts mera än att staten icke skulle göra någon förtjänst, vill jag erinra om att det finns åtminstone ett bolag här i landet, som har sänkt pensionsbeloppen för f. d. arbetare som komma i åtnjutande av folkpension så mycket, att de nu utgående arbetsgivarepensionerna uppgå till 300, 252, 240, ja, t. o. m. till ett belopp av 157 kronor och 89 öre om året. När vi känna till, att pensionärerna få ha en arbetsgivarpension på 400 upp till 500 kronor om året utan att detta räknas som inkomst vid bestämmandet av tilläggspensionen, är det knappast troligt, att detta företag hade behövt sänka de utgående arbetsgivarpensionerna till dessa låga belopp.</w:t>
        <w:br/>
        <w:br/>
        <w:t>Herr Sandström nämnde vidare, att sådana frågor som dessa icke böra tagas upp i riksdagen och att det är fackföreningarnas sak att påtala dessa förhållanden hos arbetsgivarna. Jag förmodar, att herr Sandström inte känner till, att fackföreningarna icke ha den minsta makt att kunna göra några krav gällande i dessa pensionsfrågor, och att om han känt till detta han icke skulle ha fällt detta yttrande.</w:t>
      </w:r>
    </w:p>
    <w:p>
      <w:pPr>
        <w:pStyle w:val="Heading2"/>
      </w:pPr>
      <w:r>
        <w:t>2. Samuel Hedlund (Jordbrukarnas fria grupp, man)</w:t>
      </w:r>
    </w:p>
    <w:p>
      <w:r>
        <w:rPr>
          <w:b w:val="0"/>
        </w:rPr>
        <w:t>Jag hoppas, att kammaren överser med att jag tar ordet i denna fråga. Jag gör det inte alls för att argumentera för regeringens förslag i fråga om dyrortsgrupperingen. Jag gör det av den anledningen, att jag, som snart i tjugu år har verkat inom fattigvården som fattigvårdskonsulent, mer än de flesta i kammaren har kommit i beröring både med de kommunala myndigheter, som ha hand om den sociala omvårdnaden, och med de människor, för vilka vi lagstifta i dag.</w:t>
        <w:br/>
        <w:br/>
        <w:t>Enligt min mening kan man inte värdera i penningar, vad pensionerna och dyrortsgrupperingen innebär för samhället. Jag vill emellertid angiva ett av de skäl, varför jag med varmt hjärta kommer att biträda propositionen. Det</w:t>
        <w:br/>
        <w:br/>
        <w:t>Ar då fattigvården någonting att vara förskräckt för? Enligt min uppfattning är den icke alls någonting att vara förskräckt eller generad för. Det är underligt, att fastän den svenska fattigvården står på en mycket hög nivå, så vill man icke vända sig till den, och är man nödsakad att begära hjälp, grips man av en mindervärdighetskänsla, som fullständigt knäcker ens vilja och förmåga att komma ifrån fattigvården. Men denna vilja att försörja sig själv finnes alltjämt, och man uppmuntrar den bäst genom att i socialt avseende lagstifta så, att människorna under sin krafts dagar få bidraga till sin försörjning på ålderdomen. Detta sker genom att förbättra folkpensionerna, det sker genom att bygga upp en socialförsäkring.</w:t>
        <w:br/>
        <w:br/>
        <w:t>Samtidigt som jag säger detta vill jag framhålla, att man begår en orättfärdighet, när man påstår, att den svenska fattigvården står så lågt, att det är ovärdigt ett kultursamhälle att ha en sådan vårdform. Kom ihåg, att det svenska samhället årligen lägger ut omkring 90 miljoner kronor i fattigvårdskostnader och att omkring 600,000 oförvitliga svenska medborgare äro beroende av fattigvården för sin försörjning. Vi ha omkring 2,000 fattigvårdsstyrelser, som tillämpa mycket humana principer, som försöka göra sitt bästa att giva de människor, som behöva fattigvård, en människovärdig tillvaro. Jag talar å deras vägnar, som känna sig kränkta varje gång de höra att fattigvården undervärderas, framförallt å de människors vägnar, som äro beroende av fattigvården för sin försörjning.</w:t>
        <w:br/>
        <w:br/>
        <w:t>Det var med tillfredsställelse jag hörde socialministern förebåda, att en översyn över alla de sociala hjälpåtgärderna så småningom skulle kunna komma till stånd. Av alla de argument, som av motståndarna till dyrortsgrupperingen ha anförts här i dag, är det dock ett, som jag trots allt måste instämma i, och det var det, som framfördes av herr Skoglund. Han framhöll, att vi i den blivande översynen måste inbegripa alla former av social omvårdnad. För egen del har jag redan kommit till insikt om hur en splittrad hjälpverksamhet är till förfång icke minst för dem, som behöva samhällets hjälp. Jag vet, att den nuvarande socialministern även själv i en kommitté har arbetat för att lägga dessa förhållanden till rätta, och jag har de allra största förhoppningar om att han, när han tar initiativet till en utredning på detta område, också skall försöka placera in fattigvården i det sociala system, som han håller på att bygga upp. Jag har ingenting emot att vi lagstifta på det sociala området, så att vi få en hjälpverksamhet, som kan ersätta fattigvården och verka på ett bättre sätt än fattigvården gör. Men när vi avkoppla fattigvården -— om vi kunna göra det någon gång — vill jag varna för att vi samtidigt stryka för mycket av det, som är bärande i fattigvårdens principer. Fattigvården ger underhåll i förhållande till behovet och enligt principen hjälp till självhjälp. Detta är en av de bärande principerna i det svenska fattigvårdsväsendet, som icke får undervärderas.</w:t>
        <w:br/>
        <w:br/>
        <w:t>Jag har under de tjugu år, jag verkat som fattigvårdskonsulent, varit mycket angelägen att undersöka, huruvida svensk fattigvård är så dålig och utdelar så låga understöd, att de människor, som åtnjuta fattigvårdshjälp, leva på en lägre standard än man har rätt att fordra i ett samhälle som vårt. Jag har gjort den erfarenheten — naturligtvis finns det undantag — att fattigvår-</w:t>
        <w:br/>
        <w:br/>
        <w:t>Svensk fattigvård bygger som sagt på principer, som alltid äro bärande: den enskilde skall så långt det är möjligt draga försorg om sig själv. När han inte längre orkar hålla ut i kampen, skall samhället på ett humant sätt träda till. Den enskilde medborgaren är alltså i första hand skyldig att genom egna insatser hjälpa sig själv. Om den som en gång fått hjälp, kommer 1 en bättre ställning, skall han återgälda vad samhället har givit honom. Vi kunna gärna reformera fattigvården, men vi skola icke rycka bort det, som är av betydelse för både samhället och den enskilde. Vi kunna gärna ge fattigvården ett annat namn — det har jag ingenting emot; det tror jag snarare vore lyckligt.</w:t>
        <w:br/>
        <w:br/>
        <w:t>Jag har med detta anförande, herr talman, velat varmt vädja till socialministern, att när han företager den översyn över vår sociala verksamhet, som han har förebådat, han då icke glömmer, att så länge vi ha kvar den svenska fattigvården inrangera den i det sociala system, som han nu håller på att bygga upp.</w:t>
      </w:r>
    </w:p>
    <w:p>
      <w:pPr>
        <w:pStyle w:val="Heading2"/>
      </w:pPr>
      <w:r>
        <w:t>3. Torsten Lundell (–, man)</w:t>
      </w:r>
    </w:p>
    <w:p>
      <w:r>
        <w:rPr>
          <w:b w:val="0"/>
        </w:rPr>
        <w:t>Jag vill endast komma med några repliker till herr Andersson i Malmö, eftersom han i sitt anförande till en del vände sig mot uttalanden, som jag gjorde i mitt första anförande.</w:t>
        <w:br/>
        <w:br/>
        <w:t>Herr Andersson i Malmö ville göra gällande, att jag hade sagt, att skillnaden i prisnivån på olika dyrorter till större delen beror på kvaliteten av de värderade varorna. Ja, detta var ungefär min tankegång. Det är skillnad på beskaffenheten av de komplex av tjänster och nyttigheter, som det är fråga om på de olika orterna, och skillnaden i deras värde i penningar beror till mycket stor del på skillnaden i beskaffenheten. Speciellt gäller detta de bostäder, som det är frågan om. Herr Andersson anförde en del siffror för att visa, hur stor spridningen är mellan levnadskostnaderna på olika håll inom landet, och jag betvivlar inte alls, att dessa siffror voro riktiga. De voro hämtade från den senaste undersökningen i detta avseende. Såvitt jag hörde rätt varierade totalkostnaden för det normalhushåll, som det här gällde, mellan 1,413 kronor och 2,713 kronor. Herr Andersson anförde sedan detaljsiffror för livsmedel, bostäder o. s. v.; jag skall inte återupprepa dem. Men jag tillåter mig fråga: vad tjänar det till att draga fram dessa siffror som argument gentemot vad jag har sagt? Jag har ju själv i mitt anförande använt den tabell, som står i Kungl. Maj:ts proposition på sid. 22 och som just rör det tänkta pensionärshushållet på två personer. Jag har talat om de olika poster, som ingå i denna tabell, och påvisat, att de äro starkt varierande, särskilt i fråga om bostäderna. Ingen har bestritt, att det råder mycket stora olikheter i levnadskostnaderna i olika delar av landet, men detta beror ju, som jag har påpekat, på att det inte är identiskt samma komplex av nyttigheter och tjänster, som man värderar på billigare och dyrare orter. Gentemot detta påstående har herr Andersson icke framfört några invändningar. Vad som sagts av herr Andersson berör egentligen inte kärnan i min argumentering. Herr Andersson har inte på något sätt kunnat bestrida, att t. ex. de bostäder, som i tabellen döljas bakom siffran 380 kronor för dyrortsgrupp 3, äro av helt annan kvalitet och försedda med helt andra bekvämligheter och hava ett helt annat läge i förhållande till affärer, apotek, läkare, sjukhus o. s. v. än de bostäder, som stå bakom siffran 100 kronor för dyrortsgrupp 1.</w:t>
        <w:br/>
        <w:br/>
        <w:t>Till sist vände sig herr Andersson mot herr Bagge och menade, att när han här talade om vissa agitationsmetoder under valet, och om att man från socialdemokratiskt håll ej uppträtt fair play, så fordrades, att sådana påstå-</w:t>
        <w:br/>
        <w:br/>
        <w:t xml:space="preserve">Ang. dyrortsgradering av folkpensionerna m. m. (Forts.) enden från högerhåll skulle bevisas. Här har redan förts fram exempel härpå av herr Lundqvist i Rotebro. Jag skall också tillåta mig lämna ett litet bidrag. Det är från en socialdemokratisk tidning, som ges ut i Kalmar. Vad den heter, kan ej vara av betydelse för detta resonemang. Jag har här en liten artikel, som är skriven efter valet och som handlar om valet på södra Öland. Där står, att »valet på södra Öland har i stort sett avlöpt utan störande intermezzon. I Torslunda var deltagandet relativt livligt, och de olika partierna gjorde sitt bästa för att få fram väljarna till valurnan. Att högern in i det sista använde sig av sina fula metoder att med osanna uppgifter locka gamla, omdömessvaga personer, fick man belägg för, i det en gammal man lockades med uppgiften, att det är bara städernas gamla, som få bättre pension, om socialdemokraterna vinner, de gamla på landsbygden få ingenting. Men högern fick vid valet ett svar på sina valmetoder, så att det hördes. Svenska folket tål inte vad som helst.» Jag förmodar, att kammarens ledamöter anse, att citatet talar tillräckligt tydligt för sig självt och att det ej erfordras någon utläggning från min sida. I Kalmar län var det ändå så, att det blott var städerna Kalmar, Oskarshamn och Västervik, som voro föreslagna till placering i dyrortsgrupp 2. Om det är så, att det tryckta ordet såg ut på detta sätt, då kunna herrarna, och </w:t>
      </w:r>
      <w:r>
        <w:rPr>
          <w:b/>
        </w:rPr>
        <w:t>damerna²</w:t>
      </w:r>
      <w:r>
        <w:rPr>
          <w:b w:val="0"/>
        </w:rPr>
        <w:t xml:space="preserve"> också, föreställa sig, hurudant det talade ordet var.</w:t>
        <w:br/>
        <w:br/>
        <w:t>k Herr talman! Jag ber att få vidhålla mitt förut framförda avslagsyrande.</w:t>
      </w:r>
    </w:p>
    <w:p>
      <w:pPr>
        <w:pStyle w:val="Heading2"/>
      </w:pPr>
      <w:r>
        <w:t>4. Ernst Åqvist (–, man)</w:t>
      </w:r>
    </w:p>
    <w:p>
      <w:r>
        <w:rPr>
          <w:b w:val="0"/>
        </w:rPr>
        <w:t>Herr talman! Det är med verklig beklämning, jag har hört en del yttranden, att de frisinnade skulle vara motståndare till de dyrortsgraderade folkpensionerna. Jag måste säga, att det ej förhåller sig på det sättet. Då jag för min del vid förra årets riksdag önskade, att man borde skjuta på frågan till denna riksdag, och uttalade, att om jag skulle komma tillbaka till riksdagen, ville jag med min röst bidraga till genomförandet av dyrortsgraderade folkpensioner, så var det därför, att jag ansåg, att en så betydelsefull fråga borde underställas folket i val. Det har ju nu skett, och svenska folket har tydligt och klart givit uttryck åt hur det önskar, att denna fråga skall lösas. Jag måste säga, att i det län, jag representerar, har jag ej hört, att någon av mina väljare haft något emot dyrortsgrupperingens genomförande. Det är alldeles klart, att det i en sådan fråga kan råda olika meningar om sättet, hur ett sådant förslag bör genomföras. Det har också från statsrådets sida erkänts, att man möjligen kan göra misstag, och sådana bör man också senare rätta till. Men det bör ej vara något skäl för att skjuta på en sådan fråga, och det begär ej heller vi i folkpartiet, att man skall göra. Jag talar ej å mitt partis vägnar utan å mina egna, men jag tror, att det är åtskilliga, som ha samma uppfattning som jag i denna fråga.</w:t>
        <w:br/>
        <w:br/>
        <w:t>Det är också med verklig beklämning, man hör anföras särskilt från högerns sida ekonomiska skäl för att man nu ej vill vara med om genomförande av det framlagda förslaget utan först vill ha en utredning. Det måste väl ändå erkännas av varje person, som har litet insikt i ekonomiska frågor, att vårt land kan taga de kostnader, som äro förenade med genomförandet av dyrortsgraderade folkpensioner. Därom kan det ej behöva råda några olika meningar. Då det passar, framhåller man, hur väl ställt vi ha det i vårt land, hur vår exportindustri lyckats förvärva goda marknader och hurusom våra naturrikedomar kunna utnyttjas. Men är det då riktigt, att man skall ha så starka betänkligheter mot att genomföra ett förslag, som för närvarande rör sig om en utgiftsökning på cirka 20 miljoner kronor och där kostnaderna sedermera ökas men där en stor del av dem få bäras av kommunerna redan</w:t>
        <w:br/>
        <w:br/>
        <w:t>Vid förra riksdagen framträdde herr Johanson i Huskvarna och jag med en motion om dyrortsgraderade folkpensioner på visserligen något lägre belopp. Men det visar, att vi i princip voro med om dyrortsgraderade folkpensioner. Jag kan för min del deklarera, att jag även är det i år och att jag utan förbehåll kommer att rösta för utskottets förslag eller regeringens förslag. Jag tror ej, att vi taga på oss större kostnader i förhållande till vad andra länder betala ut i folkpensioner, än vad vi orka med. Vi ha ändå avsevärt lägre folkpensioner, än vad man har i Danmark, om jag ej tar fel, och lägre än dem, som genomförts i England.</w:t>
        <w:br/>
        <w:br/>
        <w:t>Jag skall, herr talman, ej upptaga tiden längre. Jag har endast velat med några ord motivera, varför jag anser mig utan förbehåll kunna rösta för det förslag, som utskottet nu framlagt.</w:t>
      </w:r>
    </w:p>
    <w:p>
      <w:pPr>
        <w:pStyle w:val="Heading2"/>
      </w:pPr>
      <w:r>
        <w:t>5. Karl Kilbom (Sveriges kommunistiska parti, man)</w:t>
      </w:r>
    </w:p>
    <w:p>
      <w:r>
        <w:rPr>
          <w:b w:val="0"/>
        </w:rPr>
        <w:t>Herr talman! Blott några ord!</w:t>
        <w:br/>
        <w:br/>
        <w:t>Jag måste säga, att när jag nyss hörde herr Carlströms reaktionära anförande, blev jag något betänksam. Herr Carlström sade, att det ej är så säkert, att samhället som sådant mår bättre av att man genomför en politik i den riktning, som här föreslås. Han ville således ej vara med om en utjämning nu till förmån för de gamla, som bo på dyrorterna. Men såvitt jag vet, har herr Carlström ej varit motståndare till dyrortsgruppering överhuvud taget. Varför vill han nu då draga konsekvenserna av sin ståndpunkt? Herr Carlström var för 2—3 år sedan den främste representanten här i kammaren för den uppfattningen, att vi skulle gå in för en utjämning av det ekonomiska läget för arbetarna, och han hävdade då, att lantarbetarna och de, som bodde på landet, skulle få det bättre och att industriarbetarna skulle betala detta. Men i dag är herr Carlström motståndare till att man skall genomföra en sådan social politik, att de sämst ställda gamla skola få det bättre på deras bekostnad, som ha mer att taga av. Det är reaktionärt, herr Carlström — för övrigt ej omvittnat för första gången. Nu var det emellertid glädjande, att herr Carlström nyss blev desavuerad av herr Åqvist i Örebro, och han blev ej blott desavuerad av honom, utan en del andra medlemmar av folkpartiet instämde för att därmed öppet inför kammaren och landet demonstrera, att sådana folkpartister som herr Carlström ej hade alla medlemmar av detta parti med sig.</w:t>
        <w:br/>
        <w:br/>
        <w:t>Men, herr talman, det var ej för att säga detta, som jag begärde ordet. Jag begärde ordet närmast med anledning av de lovtal, som från två håll håilits över den svenska fattigvården, av herr Wolgast från Blekinge och herr Hedlund från Östersund. Jag bestrider ej, att det finns en hel rad ledamöter av fattigvårdsstyrelser och fattigvårdsstyrelser såsom sådana, vilka taga bestämmelserna i vederbörande paragrafer i fattigvårdslagen på allvar, att fattigvården verkligen skall hjälpa och taga hand om de fattiga. Men jag bestrider uttryckligen, att det finns någon anledning att fälla ett sådant generellt omdöme, som de två nämnda talarna gjort.</w:t>
        <w:br/>
        <w:br/>
        <w:t xml:space="preserve">Jag fick för blott tre dagar sedan ett brev från en man ute i landet, vilken själv är sjuk och hade bidrag från sjukkassa. Hans </w:t>
      </w:r>
      <w:r>
        <w:rPr>
          <w:b/>
        </w:rPr>
        <w:t>hustru²</w:t>
      </w:r>
      <w:r>
        <w:rPr>
          <w:b w:val="0"/>
        </w:rPr>
        <w:t xml:space="preserve"> ligger för tillfället på sjukhus, och han har två minderåriga barn att försörja. Denne man</w:t>
        <w:br/>
        <w:br/>
        <w:t xml:space="preserve">Ang. dyrortsgradering av folkpensionerna m. m. (Forts.) gick till fattigvården och frågade fattigvårdsstyrelsens ordförande, om han kunde erhålla ett bidrag från fattigvården för att betala </w:t>
      </w:r>
      <w:r>
        <w:rPr>
          <w:b/>
        </w:rPr>
        <w:t>hustruns²</w:t>
      </w:r>
      <w:r>
        <w:rPr>
          <w:b w:val="0"/>
        </w:rPr>
        <w:t xml:space="preserve"> sjukhusvistelse. Då svarade fattigvårdsstyrelsens ordförande, att det kunde han visst icke få, därför att han hade sjukkassebidrag. Han frågade i brevet, vad han nu skulle göra. Jag beklagar mycket, att jag ej har detta brev med mig. Det skulle varit lämpligt att få in det i kammarens protokoll som en illustration av den fattigvård, som de två nämnda talarna så ha prisat. Jag kan ej existera med mina två minderåriga barn, skriver han, då jag själv måste ha någon hjälp för att sköta dem och samtidigt måste betala sjukhusvistelse för min </w:t>
      </w:r>
      <w:r>
        <w:rPr>
          <w:b/>
        </w:rPr>
        <w:t>hustru²</w:t>
      </w:r>
      <w:r>
        <w:rPr>
          <w:b w:val="0"/>
        </w:rPr>
        <w:t>. Vad skulle jag svara på detta? Jag svarade — och orden voro verkligen fattiga, herr talman —: ni har inte annat att göra, såvitt jag känner till, än att överklaga fattigvårdsstyrelsens beslut hos vederbörande länsstyrelse, och överklagelseakten bör skrivas på det och det sättet.</w:t>
        <w:br/>
        <w:br/>
        <w:t>Ännu en gång: jag tror ej, att samtliga fattigvårdsstyrelser och fattigvårdstjänstemän betrakta sin uppgift på det sättet. Men det är verkligen anledning att, som socialministern och flera andra talare sagt, försöka inrikta sig på en socialpolitik, som syftar till fattigvårdens avskaffande — ej den fattigvård, som hjälper den fattige, och ej de tjänstemän, vilkas sociala samvete ej trubbats av, utan den fattigvård som är orsaken till arbetarnas ovilja att begära hjälp. Till denna ovilja finns det två skäl: för det första det skälet, som man skulle uppmuntra och konstatera, att de vilja stå på egna ben, så långt möjligt är, för det andra ett annat skäl — och där tycker man, att en statens fattigvårdstjänsteman borde vara den förste att stiga upp och säga, att därpå måste det bliva ett slut — nämligen fattigvårdsmyndigheternas uppträdande.</w:t>
        <w:br/>
        <w:br/>
        <w:t>Utöver vad min partikamrat herr Verner Karlsson i Grängesberg anfört och som jag anser borde vara riktlinjer för utbyggandet av folkpensionssystemet, vill jag med alldeles säskild tillfredsställelse understryka i debattens slut några synpunkter, som framhållits dels av socialministern och dels av andra talare från regeringspartiet.</w:t>
        <w:br/>
        <w:br/>
        <w:t>För det första vill jag framhålla, att fattigvården nu ej längre skall draga in på den hjälp, som lämnats till de gamla och behövande, därför att folkpensionerna höjts en liten smula. Knappast hade det yttrandet kommit till kammarens protokoll, förrän en del fattigvårdsmyndigheter, visst icke i avlägsna orter, började effektuera detsamma på sitt sätt. Jag träffade nyligen en socialdemokratisk tidningsredaktör, som berättade, att i hans samhälle i Mellansverige — ej en liten utan en medelstor svensk stad — hade fattigvårdsstyrelsen ögonblickligen tagit konsekvenserna av riksdagens uttalande. Det är med tillfredsställelse jag understryker till protokollet, att det nu måste bli ett slut på detta tillvägagångssätt.</w:t>
        <w:br/>
        <w:br/>
        <w:t>Vidare vill" jag ansluta mig till tanken att genomföra en översyn av hela den sociala hjälpverksamheten med sikte på att tillvarataga det goda i fattigvården och avveckla det dåliga. Jag fattar detta såsom varande ett löfte om att man skall bereda de gamla rättigheten att erhålla den hjälp, till vilken de själva i arbetsför ålder skola bidraga, och ej nådesmulor, som de nu erhålla.</w:t>
        <w:br/>
        <w:br/>
        <w:t>För det tredje vill jag betona, att den reform, som nu skall beslutas, ej får bli en slutgiltig lösning av den nu föreliggande frågan, utan blott att vara en smula utfyllnad för att de gamla skola kunna leva litet bättre. Jag tror, herr talman, att det kan vara angeläget att få dessa synpunkter tagna till protokollet.</w:t>
        <w:br/>
        <w:br/>
        <w:t>Jag kan ej sluta utan att säga två ord till. Hela den debatt, som i dag föres och som föres vid varje tillfälle, som en sådan här fråga är på dagordningen i riksdagen, från folkpartiets och högerns sida, visar att dessa partier</w:t>
        <w:br/>
        <w:br/>
        <w:t>Ang. dyrortisgradering av folkpensionerna m. m. (Forts.) måste pressas och tvingas till eftergifter. Vad är det folkpartiet nu föreslår, d. v. s. herr Carlströms del av folkpartiet? Jo, att denna reform blott skall gälla för tre år. Men samtidigt är herr Carlström mycket generad över beskyllningen, att hela avsikten med detta provisorieförslag skulle vara, att man efter tre år skulle avskaffa det. Det är ej alls avsikten, säger han, i ena ögonblicket, medan han i det andra ögonblicket talar om att den ekonomiska situationen kan bli sådan, att vi ej kunna bära de ökade utgifterna. Ja, mina damer och herrar, det är väl ingen som ej förstår, vad de orden innebära. Man vill ha en dörr öppen för möjligheten att i fortsättningen gå emot denna sak. Eller vill man hellre välja den förklaringen, att man på detta sätt vill göra sitt erkännande av att man tidigare haft orätt mjukare, tror jag inte det är någon som har någon anledning att protestera däremot.</w:t>
        <w:br/>
        <w:br/>
        <w:t>Jag hälsar med tillfredsställelse, att man nu äntligen kan få denna reform 1 hamn.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