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803</w:t>
      </w:r>
    </w:p>
    <w:p>
      <w:r>
        <w:rPr>
          <w:b/>
        </w:rPr>
        <w:t xml:space="preserve">Datum: </w:t>
      </w:r>
      <w:r>
        <w:t>1937-05-27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Axel Reuterskiöld (Utan partibeteckning, man)</w:t>
      </w:r>
    </w:p>
    <w:p>
      <w:r>
        <w:rPr>
          <w:b w:val="0"/>
        </w:rPr>
        <w:t>Herr talman, mina herrar! Det var ganska länge sedan statsutskottet hade kvar något större intresse för de konstitutionella uppgifter, som åligga utskottet. Det är också ganska länge sedan konstitutionella synpunkter överhuvud taget kommo till synes i statsutskottets betänkanden. Därför är det inte någon överraskning att finna, att utskottet har framlagt ett memorial, som i dag upptages till avgörande, rörande gemensam votering i fall, där en sådan inte gärna lagenligt kan förekomma. Det förhåller sig i själva verket också så med detta memorial, att utskottet tydligen gått ut ifrån såsom självklart, att det skulle vara gemensam votering. Man talar inte ett ord om huruvida det borde vara eller inte vara någon sådan, utan utskottet bara framlägger ett förslag till voteringsproposition. Det är givetvis utskottets sak, och det är ingenting att säga därom, det är bara ett bevis till för att utskottet inte har intresserat sig för den verkliga uppgiften att här se efter, huruvida gemensam votering överhuvud taget vore möjlig.</w:t>
        <w:br/>
        <w:br/>
        <w:t>Nu har det under senare årtionden varit så, att statsutskottet i regel skjutit sig bakom eller skjutit framför sig, om man så vill, hänvisningar till prejudikat. Utskottet har inte gjort det i betänkandena, utan de där prejudikaten ha vanligtvis kommit under debatten. Då talar man bara om att man har en massa prejudikat, och man talar om att de gå i den och den riktningen o.s.v. Nu är det dock så, herr talman, att ett prejudikat har sin betydelse, endast för såvitt det är alldeles lika med det fall, som föreligger. Men se, den saken blir aldrig klar, när man åberopar ett prejudikat och bara talar om, att det är ett sådant. Man får också lov att se, hur det är beskaffat.</w:t>
        <w:br/>
        <w:br/>
        <w:t>Nu har ju jag — liksom statsutskottet — haft en viss ledning i den del av riksdagens historia, som är utarbetad av byråchefen Thulin och som handlar om sammanjämkning och gemensam votering. Där har man en hel del material, som man kan undersöka, om man inte drunknar i det hela. Jag kan mycket väl tänka mig, att det särskilt är ett par fall, som intresserat statsutskottet, i den mån som frågan har beretts i förväg och i den mån som den måhända varit föremål för enskild överläggning.</w:t>
        <w:br/>
        <w:br/>
        <w:t>Jag skall emellertid, innan jag berör dessa fall något närmare, ställa den frågan: Från vilken utgångspunkt är det, som man söker anordna gemensam votering? Vår grundlag och vår konstitutionella rätt gå ut ifrån den principen, att flertalet av riksdagens beslut, det stora antalet riksdagsbeslut, skall fattas genom samstämmiga kammarbeslut. Den hänvisar endast i vissa undantagsfall till gemensam votering, men den hänvisar till sammanjämkningsregeln för alla fall, där det är möjligt att komma fram på en sammanjämkningsväg. Den gemensamma voteringen är i den grundläggande paragrafen 69 i regeringsformen angiven på det sättet, att den skall tillgripas, när det gäller statens reglerande eller bevillningens därefter lämpade hela belopp — ett oklart uttryckssätt, som dock i varje fall ger vid handen, att det först och sist gäller årets budget. Sedan finns det åtskilliga andra fall, och praxis har naturligtvis måst taga ståndpunkt till de olika fallen, allt eftersom de dykt upp. Man kan inte här bygga på grundlagens bokstav, den är för litet talande; däremot får man hålla sig till grundlagens anda. Nu är det, herr talman, så, att i regel har man också hållit sig till grundlagens anda och följt de principer, som enligt vad denna ger vid handen skola gälla för gemensam votering, men så har man gjort ett litet hopp åt sidan ibland, jag skulle vilja säga ett litet felsteg på fördärvets väg, som sedan kallas för ett prejudikat.</w:t>
        <w:br/>
        <w:br/>
        <w:t>Men för att det skall kunna vara ett sådant, måste det dels finnas flera fall, de skola ha upprepats, dels skola de vara alldeles likartade. I regel har man efter det där felsteget återvänt till den sunda principen, och sedan har man gjort ett annat litet sådant där felsteg åt sidan på en annan punkt och i en annan fråga. Och så har man fått det intrycket, att det inte finns några regler för gemensam votering. Går man ett steg till, kommer man till att gemensam votering under en tid har avvisats så långt möjligt av första kammaren och accepterats av andra kammaren — det var på den tiden, då andra kammaren hade övervikt i en gemensam votering. Så kom det en tid, när första kammaren var förändrad, och andra kammaren också, och då kunde det hända, att första kammaren hade ett annex i den andra, vilket gjorde, att den var benägen för gemensam votering mer än den varit förut. Då blev andra kammaren mera återhållsam.</w:t>
        <w:br/>
        <w:br/>
        <w:t>Jag tror, att man måste se frågan i sammanhang med kamrarnas sammansättning. Frågan kan och bör i princip besvaras lika, men man får lov att fråga sig: Skall principen tillämpas extensivt eller restriktivt? Detta beror åtskilligt på hur man ställer sig till spörsmålet om tvåkammarproblemet.</w:t>
        <w:br/>
        <w:br/>
        <w:t>I en tid, då kamrarna äro mycket olika till sin sammansättning och till grunderna för sitt bildande, är den gemensamma voteringen ett medel, som man behöver använda i ganska stor utsträckning för att kunna åstadkomma beslut, där det inom ramen av grundlagen och grundlagspraxis är möjligt. Då kamrarnas sammansättning blir mera likartad, blir det efter min mening nödvändigt att vara restriktiv, när det gäller gemensam votering, ty i annat fall spelar inte längre denna tvåkammaruppdelning någon roll. Jag menar, att redan det faktum, att det finns två kamrar, som sitta i skilda rum, ha ett olika antal medlemmar och eventuellt också äro skilda i vissa andra grunder — att redan detta faktum är av betydelse, när det gäller att få ett riksdagsbeslut till stånd genom gemensam votering, och man därvid skall iakttaga viss varsamhet även då kamrarnas sammansättning är helt olika, men än mera om kamrarna blivit mer och mer likartade inbördes. Skulle man i det fallet utsträcka användningen av den gemensamma voteringen till de yttersta gränserna — eventuellt utanför dem — då har man på en omväg kommit till enkammarsystem. Då kan ju lika väl första kammaren säga, när den går med på omröstningen: Vi behövas inte — eller också behövas inte ni i andra kammaren — ettdera! Det är därför enligt min mening mycket naturligt, att såsom förhållandena ha utvecklat sig inom riksdagen med hänsyn till kamrarnas sammansättning, måste man eller bör man — jag skall inte gå längre — vara restriktiv 1 tillämpningen av gemensam votering, om man inte vill hoppa direkt in i tvåkammarsystemets problem.</w:t>
        <w:br/>
        <w:br/>
        <w:t>Därför menar jag, att så snart det är tvivelaktigt om gemensam votering bör äga rum eller inte, bör man inte låta några andra hänsyn vara avgörande än detta: är det ett steg till tvåkammarsystemets avskaffande eller inte? Det kan vara överdrift att tala därom i det särskilda fallet, det kan vara fall, där det inte spelar någon roll, men jag tror, att i stort sett måste man ändå säga, att kammaren bör inta den ståndpunkten, att om det är tvivelaktigt, skall den inte handla. Det är ju en gammal god försiktighetsregel, att i tvivelaktiga fall handlar man inte. Men här är det alldeles särskilt önskvärt och nödvändigt, om man skall kunna bevara värden, som verkligen äro värda att bevara.</w:t>
        <w:br/>
        <w:br/>
        <w:t>Detta gör, att redan om jag finner, att det är ett tvivelaktigt fall. säger jag nej till den gemensamma voteringen. Nu vet jag, att i sådana fall kan man mycket väl låta sitt beslut bestämmas av andra hänsyn. Man säger: »Denna fråga är så stor, och man vill behandla den, så att den inte får falla, och,</w:t>
        <w:br/>
        <w:br/>
        <w:t>å la bonne heure, låt oss därför taga gemensam votering för att bli av med den!» Detta kallar jag, herr talman, för att handla i trötthetens tecken, såvitt det inte är andra spekulationer med. Man kan också säga: »Frågan är så outredd, att den kan få falla under bordet.&gt; Då röstar man emot gemensam votering i detta vällovliga syfte. Jag menar dock, att det ena är lika litet riktigt som det andra. Man får se efter, om en gemensam votering här är av behovet påkallad.</w:t>
        <w:br/>
        <w:br/>
        <w:t>Det anses alltid, och det har varit en grundläggande princip, att en gemensam votering är nödvändig, när beslut måste fattas i en viss fråga vid den riksdagen, positivt eller negativt. När det gäller årets statsreglering äro sådana beslut nödvändiga, när det gäller en statsreglering för ett kommande år, äro de det inte. En sådan åtgärd är då inte nödvändig. Och när det gäller fastställande av grunder för utgifter, organisationer och dylikt vare sig de komma under det nästkommande budgetåret eller längre fram eller båda delarna, är det inte heller nödvändigt, att man kommer till ett beslut, utan frågan kan falla.</w:t>
        <w:br/>
        <w:br/>
        <w:t>I alla händelser kan man här säga, att om man söker åstadkomma ett beslut, därför att det har något sammanhang med årets budget, så måste man ändock fråga sig, om detta sammanhang är av väsentlig eller tillfällig natur. Om det är en omständighet i andra hand, i tredje hand, ja, då är detta sammanhang utan betydelse och beslutet kan upptagas i samband med annan fråga. Låt oss taga det fall, som nu föreligger! Om man här frågar sig: skall i detta fall enligt nu föreliggande memorial gemensam votering äga ram — jag bortser från uppdelningen på tre punkter tills vidare — så säger man: ja, här föreligger ju gemensamma beslut i punkten 1, det föreligger gemensamma beslut i punkten 5, och det föreligger gemensamma beslut i en hel del följande punkter, men det är dessa sex första punkter, som memorialet berör. I den första punkten står det, att löneregleringen skall gälla från och reed den 1 januari 1938. Det är alltså under det löpande budgetåret. I femte punkten talas det om, att lärarna skola åtnjuta avlöning 1 enlighet med statsrådsprotokollet, och dessa förmåner skulle komma att utgå redan under nästkommande år. Ja, det är riktigt, men dessa punkter äro icke väsentliga, inga huvudpunkter. Och för att kunna komma till gemensam votering har statsutskottet nödgats bryta ut alla punkter var för sig, ehuru de i grund och botten hänga samman som ett helt.</w:t>
        <w:br/>
        <w:br/>
        <w:t>Om nu gemensam votering inte kommer till stånd — jag vet ju, att den kommer till stånd, men jag går ut ifrån möjligheten, att rätten skulle segra då blir resultatet, att detta förslag till reglering av lönerna har förfallit. Då är det utskottets både rätt och plikt att i stället upptaga de anslag, som äro nödvändiga enligt nu gällande regler, och då kommer ett förslag från statsutskottet med all säkerhet — man behöver inte alls avvakta någon kunglig proposition, utan statsutskottet kommer alldeles säkert med ett sådant förslag; det har det gjort förut, och det kommer det att göra nu också, och då bli även de synpunkter tillgodosedda, som finnas i denna punkt 5. Punkten i åter blir naturligtvis inte tillgodosedd, men vad säger första punkten? Den säger, att en lönereglering skall genomföras från och med den 1 januari 1938. Det är inte en lönereglering vilken som helst, utan det är en lönereglering, vars grunder äro angivna i punkterna 2, 3 och följande. Det är således uppenbart, att punkten 1 får sitt innehåll uteslutande genom de följande punkterna.</w:t>
        <w:br/>
        <w:br/>
        <w:t>Det finns kanske, och statsutskottet kan kanske peka på det, men jag, herr talman, har inte tidigare sett vare sig något statsutskottsmemorial eller något statsutskottsutlåtande, som innehållit en sådan inblancopunkt som punkt 1, vars innehåll helt berott av de följande punkterna, eller ett förslag till gemen-</w:t>
        <w:br/>
        <w:br/>
        <w:t>Ang. gemensam votering i folkskollärarlönefrågan. (Forts.) sam votering, som detta oaktat delat upp dessa på flera voteringar. Den första punkten får sitt innehåll genom de följande och har ingen betydelse i och för sig. Under sådana förhållanden är det nästan ogörligt att finna något föregående fall, som är likartat med detta och alltså kan åberopas som prejudikat. Även om det fallet, därest det funnes, inte bara vore ett felsteg utan verkligen någonting, som kunnat lagligen äga rum, så får det lov att vara alldeles lika med det nu föreliggande, men något sådant prejudikat finns ej: det nu framlagda förslaget betyder något helt nytt.</w:t>
        <w:br/>
        <w:br/>
        <w:t>Nu kan jag tänka mig, att man säger, att ett sådant fall dock inträffade 1923, då det gällde arbetslöshetsdirektiven. Där ordnade man en gemensam votering. Jag skall kanske medge, att det då också ansågs som ett gränsfall, men det skiljer sig mycket avgjort från det fall, som här föreligger, ty när det gällde direktiven för arbetslöshetsanslaget voro och äro dessa ingenting annat än villkor vid anslaget, och det är en gammal känd regel, att angående anslagsvillkor går gemensam votering mycket väl för sig. Man måste rent av taga den då. Men i det här föreliggande fallet är det inte alls fråga om anslagsvillkor, utan det är fråga om grunder, efter vilka man skall föra in folkskollärarna i statens lönesystem och lönetyper, där de inte ha varit förut. För närvarande betalar staten till folkskollärarna hela den kontanta lönen. Det gjordes inte helt och hållet förut, men nu sker det. Och det har gått att genomföra utan att införa lärarna i avlöningssystemet. Nu anges här de grunder, efter vilket ett införande skall ske i statens lönesystem. Om dessa grunder menar jag, att man inte kan votera gemensamt, och man kan alldeles icke säga, att här är fråga om anslagsvillkor. TI fallet 1923, beträffande direktiven, gällde det anslagsvillkor; nu gäller det organisationen.</w:t>
        <w:br/>
        <w:br/>
        <w:t xml:space="preserve">Så frågar man: men hur var det 1925, när man satte in </w:t>
      </w:r>
      <w:r>
        <w:rPr>
          <w:b/>
        </w:rPr>
        <w:t>kvinnorna¹</w:t>
      </w:r>
      <w:r>
        <w:rPr>
          <w:b w:val="0"/>
        </w:rPr>
        <w:t xml:space="preserve"> i avlöningsreglementet? Är inte åtminstone det ett precedensfall? Herr talman, det var nog också då likalönsprincipen, som var före, men om jag inte minns fel, voro både utskottet och dåvarande finansministern — som också är den nuvarande — ense om att själva principen var ännu oavgjord; den var lämnad öppen. Vad man gjorde var ju, att man tog bort den d. v. avdelningen C i avlöningsreglementet, som gällde </w:t>
      </w:r>
      <w:r>
        <w:rPr>
          <w:b/>
        </w:rPr>
        <w:t>kvinnorna¹</w:t>
      </w:r>
      <w:r>
        <w:rPr>
          <w:b w:val="0"/>
        </w:rPr>
        <w:t xml:space="preserve">, och utan vidare satte in dem i lönegrader i avdelningen B, och fanns det några </w:t>
      </w:r>
      <w:r>
        <w:rPr>
          <w:b/>
        </w:rPr>
        <w:t>kvinnor¹</w:t>
      </w:r>
      <w:r>
        <w:rPr>
          <w:b w:val="0"/>
        </w:rPr>
        <w:t xml:space="preserve"> i A, fingo de såsom förut följa de vanliga reglerna där. Det är klart, att man också gjorde ändringar i avlöningsreglementets bestämmelser, men går man igenom dessa, finner man, att de beröra just sådana punkter, som förut alltid tagits såsom villkor vid löneanslaget, alltså de villkor, under vilka vederbörande skulle få åtnjuta lönerna. Avlöningsreglementet är ingenting annat än en sammanfattning av avlöningsvillkoren, och angående dess innehåll kan man mycket väl votera gemensamt. Varken princip eller organisation berördes genom besluten. Men därtill kommer, att denna gemensamma votering avsåg just nästkommande årets stat; förändringen gällde från den 1 juli 1925 — den nu förevarande åter avser i själva verket icke tiden från den 1 juli 1937 utan från den I juli 1938 med vissa undantag i bipunkter som jag nyss pekade på. Detta gör en oerhört stor skillnad. Fallet är icke likartat med det nu föreliggande.</w:t>
        <w:br/>
        <w:br/>
        <w:t>Om man emellertid ovillkorligen skall ha en gemensam votering, måste jag fråga mig: hur kan det vara möjligt, att man då delar upp den på tre punkter? Blir det inte ett våld på själva innehållet i kamrarnas beslut? Jag erinrar om att när första kammaren tog punkten 2, som här är voteringspunkt 1, så biföll den herr Olof Olssons reservation men inte högerreservationen. När den sedan kom till punkt 3, d. v. s. voteringspunkten 2 i memorialet om lika lön, tog den högerreservationen. När vi kommo till punkt 4 i utlåtandet, voteringspunkt 3</w:t>
        <w:br/>
        <w:br/>
        <w:t>1 memorialet, togo vi högerreservationen mera modifierad i enlighet med herr Olof Olssons reservation i andra punkten — man ändrade ett par årtalssiffror till överensstämmelse med herr Olof Olssons reservation, som förut godkänts. Beslutet beträffande punkt 4 fattades sålunda i samband med beslutet om punkt 2. Det kunna vi inte komma ifrån. Att punkten 6 togs i samband med dessa andra är ju klart redan av föredragningsordningen, som herrarna torde erinra sig.</w:t>
        <w:br/>
        <w:br/>
        <w:t>När man, herr talman, nu delar upp detta på tre voteringar, skulle man kunna göra det tankeexperimentet — det är visserligen nu bara ett tankeexperiment, men det visar ändå, vart saken kan leda — att beträffande punkten Å. 2. — voteringspunkten 1 i detta memorial — herr Olof Olssons reservation, som första kammaren tagit, blir avslagen och riksdagen tar det ursprungliga utskottsbetänkandet, men att sedan riksdagen i den gemensamma voteringspunkten 3 beträffande lärarna vid småskolorna, följer första kammaren, detta av någon outgrundlig anledning, ja, då har man anknutit till en bestämmelse, som redan är förkastad! Jag kan inte finna, att det är någon rimlig anordning att dela upp i punkter på det sättet — alldeles bortsett från att alla punkterna ingå som materiellt innehåll i punkten 1.</w:t>
        <w:br/>
        <w:br/>
        <w:t>Nu skulle jag kunna med åberopande av ett fall så långt tillbaka som från 1873 hemställa, att kammaren ville ändra voteringspropositionen. Detta gjorde man 1873 i ett fall, och då var det inte första kammaren, som gjorde det, utan det var den andra.. Då var det nämligen så, att man hade ett förslag om sammanslagning av jag vill minnas fästningsartilleri och flotta på något sätt; i allt fall var det en organisationsfråga. Första kammaren tog organisationen och gav anslagen, andra kammaren gjorde det inte. Så kom det fram förslag till gemensam votering, och där funnos både organisationen och anslaget med. Första kammaren antog voteringspropositionen, och andra kammaren återremitterade frågan till statsutskottet. Då hemställde statsutskottet, alldeles som det gjorde här om dagen till första kammaren, att andra kammaren måtte fatta beslut i fråga om den gemensamma voteringen. Det gjorde andra kammaren, herr talman, på det sättet, att den biföll utskottets voteringsproposition med strykande av det moment, som gällde organisationen. Då gick ärendet tillbaka till statsutskottet, som hemställde, att första kammaren skulle godkänna den voteringsproposition, som andra kammaren för sin del hade godkänt. Detta var vid 1873 års riksdag, statsutskottets memorial nr 58 och 72, för den som vill närmare se på saken, om någon är intresserad, vilket jag inte tänker mig.</w:t>
        <w:br/>
        <w:br/>
        <w:t>Första kammaren kunde nu besluta, att dessa tre voteringspropositioner godkännas såsom moment i en enda gemensam votering, men jag har ingen anledning att göra ett sådant förslag, ty mitt yrkande, herr talman, kommer givetvis att gå ut på avslag på den gemensamma voteringspropositionen, vare sig denna är enhetlig eller mångfaldig. Det kan efter min uppfattning inte få förekomma, att en gemensam votering skulle äga rum rörande organisatoriska grunder, som i allt väsentligt och huvudsakligt avse ett kommande budgetår, och som endast i vissa bipunkter beröra det nu närmast följande budgetåret, för vilket statsregleringen skall ske i år.</w:t>
        <w:br/>
        <w:br/>
        <w:t>När Jag yrkar avslag på detta memorial i alla dess punkter, vill jag emellertid göra ytterligare en erinran. För mig är det med min uppfattning nödvändigt att göra ett sådant yrkande, men jag måste säga mig, när jag läser detta memorial om gemensam votering, att där finnas inte mer än två reservanter. Den ene är första kammarens förste vice talman, och den andre är en reservant från den riksdagsgrupp, Jag själv tillhör. Även om Jag kunde få tolka dessa reservationer såsom innebärande avslagsönskningar, så är jag inte säker på att det är avslagsyrkanden, och när jag sedan konstaterar, att det inte finns</w:t>
        <w:br/>
        <w:br/>
        <w:t>Ang. gemensam volering i folkskollärarlönefrågan. (Forts.) någon högerman eller någon från folkpartiet, som gått reservationens väg, måste jag ju säga mig — Jag är ju inte alldeles bakom — att det är ett indicium för att högern och folkpartiet inte äro benägna för att avslå denna proposition. Och är det fallet, så är det ju fullkomligt lönlöst att begära någon votering. Jag vill därför tillkännagiva, att om någon under dessa förutsättningar, som jag här har konstaterat — då det är lönlöst att begära votering — skulle förvänta, att jag ändå skulle begära votering, så tar han miste. Under dessa förhållanden, herr talman, kommer jag inte att göra det, men mitt avslagsyrkande vidhåller jag klart och bestämt. Och jag vill tillägga och sluta med en understrykning: jag vidhåller detta yrkande inte minst därför att när jag ser, att första kammarens andre vice talman befinner sig bland majoriteten i utskottet, som tillstyrkt detta, så finner jag, att de, som skulle föra första kammarens talan i fråga om dess existensberättigande vid avgörande av frågor om oriktig gemensam votering, ha lämnat kammaren i sticket. Då är det så mycket mera meningslöst att då begära votering.</w:t>
        <w:br/>
        <w:br/>
        <w:t>Avslag yrkar jag, herr talman!</w:t>
      </w:r>
    </w:p>
    <w:p>
      <w:pPr>
        <w:pStyle w:val="Heading2"/>
      </w:pPr>
      <w:r>
        <w:t>2. Petrus Gränebo (Bondeförbundet, man)</w:t>
      </w:r>
    </w:p>
    <w:p>
      <w:r>
        <w:rPr>
          <w:b w:val="0"/>
        </w:rPr>
        <w:t>Herr talman! Såvitt jag kunde utläsa innehållet i herr Reuterskiölds anförande, ansåg han själv, att det här föreliggande voteringsmemorialet var ett gränsfall. Herr Reuterskiöld uttalade ju, att i tvivelaktiga fall skall man icke handla. Även en så sträng grundlagsväktare som professor Reuterskiöld ansåg alltså, att det i det här fallet var tvivelaktigt, huruvida man kunde ha gemensam votering eller inte. Men med de utgångspunkter han hade, måste han naturligtvis komma till ett avslagsyrkande.</w:t>
        <w:br/>
        <w:br/>
        <w:t>Jag har, då jag måst deltaga i beslutet inom statsutskottet, försökt att bedöma frågan efter den praktiska syn, som man bör lägga på dessa frågor, och den anda och mening, som man söker läsa ut ur grundlagen i detta fall, jämfört med den praxis, som har utbildat sig under årens lopp. Det är ju det, som är det avgörande. Riksdagen bör ju ha arbetsformer, som äro sådana, att man kan komma till beslut. Här ville båda kamrarna, att ett beslut i den föreliggande frågan skulle fattas, och båda kamrarna ha ju var för sig fattat positiva beslut. Det föreligger endast en del skiljaktigheter i fråga om dessa beslut, och när de nu icke kunde sammanjämkas, så anser jag att en lösning därav bör ske genom gemensam votering. Jag kan ej se att detta är stridande mot grundlagens anda och mening.</w:t>
        <w:br/>
        <w:br/>
        <w:t xml:space="preserve">Herr Reuterskiöld har ju utvecklat de skäl, som skulle vara vägledande för gemensamvoteringsinstitutets användande. Grundlagsstiftarna kunde dock inte förutse alla de tillfällen, då detta institut skulle komma till användning. Så småningom har ju utbildats en praxis rörande dess användning, och herr Reuterskiöld angav särskilt de två tillfällen, som voro mest jämförbara med det nu föreliggande fallet, nämligen de gemensamma voteringarna om arbetslöshetsdirektiven 1923 och om de lika lönerna för män och </w:t>
      </w:r>
      <w:r>
        <w:rPr>
          <w:b/>
        </w:rPr>
        <w:t>kvinnor¹</w:t>
      </w:r>
      <w:r>
        <w:rPr>
          <w:b w:val="0"/>
        </w:rPr>
        <w:t xml:space="preserve"> i statstjänst 1925. Det senare fallet skiljer sig ju inte så mycket från det föreliggande. Jag medger, att här kanske finns en del mera organisatoriska bestämmelser, som nå längre, gällande tjänstgöringsskyldighet och tjänstgöringsförhållanden i övrigt, och jag har själv i en föregående debatt i denna sak inför ett annat forum uttalat, att jag anser, att detta kan vara ett gränsfall. Men just av praktiska skäl anser jag, att man likväl bör söka komma till ett resultat. Riksdagen bör ordna det så med sina arbetsformer, att man kan komma till positiva beslut.</w:t>
        <w:br/>
        <w:br/>
        <w:t>Professor Reuterskiöld sätter här i fråga, huruvida inte första kammaren uppger sin ståndpunkt. Ja, det är väl det, som skulle vara det väsentligaste</w:t>
        <w:br/>
        <w:br/>
        <w:t>Ang. gemensam votering i folkskollärarlönefrågan. (Forts.) skälet för en vägran att medge gemensam votering, och jag inser till fullo att här måste man avväga, så att man dels icke lägger hinder i vägen för frågornas lösning, dels handlar i överensstämmelse med tvåkammarsystemets anda. Jag kan inte inse, att ett beslut om gemensam votering här kan rubba kamrarnas ställning till varandra. J ag tror snarare tvärtom, att om man här vägrar gemensam votering, skulle man kunna fråga: är det inte skäl att se till, att man får en ändring i de arbetsformer, som gälla för kamrarna, så att man får möjlighet att komma till positiva beslut? Jag tror, att även detta är minst lika viktigt att taga med vid övervägandet, om man skall gå med på gemensam votering 1 denna fråga. Detta är av minst lika stor betydelse, och i det läge, som denna fråga nu kommit, anser jag att även om, som professor Reuterskiöld sade, frågan kan ligga på gränsen, så bör döck, för att vi här skola komma till ett beslut i frågan, även första kammaren godkänna voteringsmemorialet.</w:t>
        <w:br/>
        <w:br/>
        <w:t>Jag hemställer, herr talman, att kammaren godkänner memorialet.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803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