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2122</w:t>
      </w:r>
    </w:p>
    <w:p>
      <w:r>
        <w:rPr>
          <w:b/>
        </w:rPr>
        <w:t xml:space="preserve">Datum: </w:t>
      </w:r>
      <w:r>
        <w:t>1937-06-04</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Olivia Nordgren (Socialdemokraterna, woman)</w:t>
      </w:r>
    </w:p>
    <w:p>
      <w:r>
        <w:rPr>
          <w:b w:val="0"/>
        </w:rPr>
        <w:t xml:space="preserve">Herr talman! Den fråga, vi nu behandla i riksdagens elfte timme, är en av de största sociala frågorna vid årets riksdag. Och Jag tvekar icke att beteckna densamma som den för </w:t>
      </w:r>
      <w:r>
        <w:rPr>
          <w:b/>
        </w:rPr>
        <w:t>mödrar²</w:t>
      </w:r>
      <w:r>
        <w:rPr>
          <w:b w:val="0"/>
        </w:rPr>
        <w:t xml:space="preserve"> och barn mest betydelsefulla. Ty här gäller det inte bara hjälp vid vissa särskilda tillfällen, utan här gäller det tryggad försörjning under många år — hela uppväxttiden — för stora massor av Sveriges barn.</w:t>
        <w:br/>
        <w:br/>
        <w:t>Enbart antalet barn under 16 år, vilka skola komma i åtnjutande av barnbidrag, har uppskattats till omkring 80,000 per år. Beträffande antalet barn, till vilka bidragsförskott föreslås skola utgå, är det svårare att beräkna detta, då det ju härvid inte är fråga om det allmännas direkta övertagande av en del av försörjningsplikten för ifrågavarande barnkategorier. Endast i de fall, där försummelse från fädernas sida föreligger i fråga om fullgörandet av denna plikt, skall det allmänna träda emellan. Det vill säga, att det allmänna här inträder som garant för att barnen få sin rätt och övertager kravrätten gentemot de försumliga barnafäderna. Men att det även här är fråga om ett stort antal barn, som komma att stödjas, torde man få räkna med. Enligt av 1934 års barnpensioneringssakkunniga införskaffade statistiska uppgifter fanns det vid 1935 års utgång 57,000 utomäktenskapliga barn under 16 år — därav 33,000 på landsbygden och 24,000 i städerna — vilkas fäder levde och vistades å känd ort och för vilka ett månatligt underhållsbidrag var fastställt. För icke mindre än 28,000 av dessa barn — eller 15,700 på landsbygden och 12,300 i städerna — förelåg sådan försummelse i fråga om bidragspliktens fullgörande, att bidragsbelopp, förfallet under år 1935, vid utgången av april månad 1936 ännu helt eller delvis kvarstod oguldet. Detta innebär, att för inte mindre än 47 Z å landsbygden och 51 4 i städerna av dessa barn, som tillerkänts bidrag, förelåg försummelse från fädernas sida. Det är enligt min mening siffror som vältaligt vittna om nödvändigheten av att samhället lämnar Er a till att förhjälpa dessa barn till den rätt, de lagenligt blivit tillerkända.</w:t>
        <w:br/>
        <w:br/>
        <w:t xml:space="preserve">Vad först beträffar barnbidragen, som skola utgå till änkors och invalida försörjares barn samt till de föräldralösa barnen, vill jag uttala min stora glädje och tillfredsställelse över att denna fråga nu äntligen efter mera än fyra artionden står inför sin lösning och, det måste erkännas med tacksamhet, en ganska tillfredsställande sådan. Jag vet också, att kammarens beslut här i dag kommer att hälsas med stor glädje av de ensamma </w:t>
      </w:r>
      <w:r>
        <w:rPr>
          <w:b/>
        </w:rPr>
        <w:t>mödrarna²</w:t>
      </w:r>
      <w:r>
        <w:rPr>
          <w:b w:val="0"/>
        </w:rPr>
        <w:t xml:space="preserve"> ute i landet, liksom av de familjeförsörjare, som på grund av varaktig arbetsoförmåga icke äro i stånd att själva trygga sina barns försörjning. De belopp, som här föreslås skola utgå till dessa barn 240 kronor per år för ett barn i lägsta ortsgruppen — äro visserligen i och för sig icke stora, men de äro dock av sådan storleksordning, att de äro ägnade att skapa trygghet åt barnen under deras</w:t>
        <w:br/>
        <w:br/>
        <w:t xml:space="preserve">Vidare ber jag att alldeles särskilt till herr statsrådet och chefen för socialdepartementet få frambära ett vördsamt tack för den utformning, lagen om barnbidrag fått, och för att detta stöd åt änkors barn och föräldralösa barn givits pensions karaktär. Detta hälsas med glädje och tacksamhet av tusentals ensamma </w:t>
      </w:r>
      <w:r>
        <w:rPr>
          <w:b/>
        </w:rPr>
        <w:t>mödrar²</w:t>
      </w:r>
      <w:r>
        <w:rPr>
          <w:b w:val="0"/>
        </w:rPr>
        <w:t xml:space="preserve"> i vårt land, som i detta se ett bevis på att deras </w:t>
      </w:r>
      <w:r>
        <w:rPr>
          <w:b/>
        </w:rPr>
        <w:t>mödraoch²</w:t>
      </w:r>
      <w:r>
        <w:rPr>
          <w:b w:val="0"/>
        </w:rPr>
        <w:t xml:space="preserve"> uppfostrargärning fått en erkännande uppskattning. Länge nog ha de </w:t>
      </w:r>
      <w:r>
        <w:rPr>
          <w:b/>
        </w:rPr>
        <w:t>kvinnor¹</w:t>
      </w:r>
      <w:r>
        <w:rPr>
          <w:b w:val="0"/>
        </w:rPr>
        <w:t xml:space="preserve"> i fattiga ekonomiska omständigheter, som förlorat sitt stöd i livet genom dödens ingrepp eller eljest lämnats ensamma med minderåriga, oförsörjda barn, nödgats vandra den för många tunga vägen till fattigvården för sina barns försörjning. När jag betecknar fattigvårdens väg såsom tung att beträda, vill jag betona, att detta icke innebär någon kritik mot eller något klander av våra fattigvårdsmyndigheter, ja inte ens mot fattigvården som sådan. Tvärtom erkänner jag gärna, att denna kan vara god och human, där densamma handhaves av människor med hjärtat på rätta stället. Men för de samhällsmedborgare, som visserligen kunna ha levat i små omständigheter men under familjeförsörjarens livstid, eller under dennes hälsas dagar, varit vana att reda sig själva och sörja för sina barn, känns det det oaktat bittert att behöva anlita fattigvården. Ty trots dennas humanisering kvarlever dock bland stora lager av vårt folk den uppfattningen, att det är förödmjukande att uppbära fattigunderstöd. Och denna ambition hos vårt folk är enligt min mening en moralisk tillgång, som det säkerligen vore till skada, om den försvunne. Men framförallt är det inte bra för barn att växa upp i hem, som upprätthållas genom fattigunderstöd. Hos en del barn kvarlämnar detta att ha »fostrats upp på fattigvården», som det heter, bittra minnen för livet, hos andra kan det däremot skapa en understödstagareanda, som följer dem som vuxna. Det är inte precis någon sällsynt företeelse, att understödsbehovet så att säga »går 1 arv» från den ena generationen till den andra i en familj, som haft sitt uppehälle genom fattigvården under barnens minderårighet. Den erfarenheten torde nog många fattigvårdsmyndigheter ha gjort.</w:t>
        <w:br/>
        <w:br/>
        <w:t>Inte minst ur dessa synpunkter, herr talman, är det, som jag finner det vara av så stort värde, att barnbidragshjälpen får pensions karaktär och utgår på samma sätt och handhaves av samma organ som folkpensionerna åt våra åldringar nämligen genom pensionsnämnderna och pensionsstyrelsen. Det finns emellertid andra meningsriktningar — som varit starkt företrädda i det utskott, som behandlat detta ärende, och väl även finnas här i kammaren — enligt vilka barnavårdsnämnderna, samt i andra hand länsstyrelserna och kammarrätten, böra vara organ för handhavandet av barnbidragen. Denna uppfattning har också vad beträffar barnavårdsnämnderna som verkställande organ kommit till uttryck i den allmänna motiveringen i utskottsbetänkandet.</w:t>
        <w:br/>
        <w:br/>
        <w:t>Naturligtvis finns det skäl, som kunna tala för en dylik anordning, framförallt om man, såsom förhållandet är på en del håll, anser, att barnavårdsnämndernas verksamhet bör utsträckas att omfatta även barnen i familjerna, i så måtto att alla barn skola övervakas av det allmänna, alltså även i de fall, där föräldrarna fullgöra sina plikter mot barnen på ett tillfredsställande sätt men på grund av vissa omständigheter, sådana som faderns frånfälle eller ar-</w:t>
        <w:br/>
        <w:br/>
        <w:t xml:space="preserve">Kanske kan det en gång i framtiden bli nödvändigt, att alla barn få samhällsvård och övervakning, på grund av den omvandling av hemmen som pågår — särskilt i städerna — genom </w:t>
      </w:r>
      <w:r>
        <w:rPr>
          <w:b/>
        </w:rPr>
        <w:t>kvinnornas¹</w:t>
      </w:r>
      <w:r>
        <w:rPr>
          <w:b w:val="0"/>
        </w:rPr>
        <w:t xml:space="preserve"> allt mera tilltagande förvärvsarbete utom hemmet. Men ännu så länge torde denna fråga icke vara aktuell. Och jag vill erinra om att varken änkornas barn eller barnen till de invalida försörjare, som jämte sin folkpension enligt 1921 års bestämmelse uppbära barntillägg för sina barn, stå under barnavårdsnämndernas övervakning, enligt nu gällande barnavårdslagar, i annan mån än vad som gäller för alla barn, nämligen skyldigheten för barnavårdsnämnd att ingripa i de fall barnen vanvårdas och på grund av föräldrarnas försummelse eller bristande vårdnadsförmåga behöva omhändertagas för samhällsvård. Detta kommer Jämväl att gälla för de barn, till vilka barnbidrag komma att utgå, då enligt 10 $ i lagförslaget, om särskilda skäl därtill äro, barnbidraget skall utgå till barnavårdsnämnd eller annan, med skyldighet för vederbörande att handhava barnbidraget på sätt, som är för barnet mest gagneligt. Och de tusentals änkor i vårt land, som hittills själva utan det allmännas stöd, ofta under slit och släp och med stora uppoffringar, fostrat sina barn till goda och dugliga samhällsmedborgare, äro levande bevis för dessa </w:t>
      </w:r>
      <w:r>
        <w:rPr>
          <w:b/>
        </w:rPr>
        <w:t>mödrars²</w:t>
      </w:r>
      <w:r>
        <w:rPr>
          <w:b w:val="0"/>
        </w:rPr>
        <w:t xml:space="preserve"> förmåga att sköta sina barn på egen hand. Sambhället står i stor tacksamhetsskuld till alla dessa fattiga </w:t>
      </w:r>
      <w:r>
        <w:rPr>
          <w:b/>
        </w:rPr>
        <w:t>mödrar²</w:t>
      </w:r>
      <w:r>
        <w:rPr>
          <w:b w:val="0"/>
        </w:rPr>
        <w:t xml:space="preserve"> för denna deras sambhällsgärning. Och samhället bör också, med fullt förtroende för dessa kategorier av </w:t>
      </w:r>
      <w:r>
        <w:rPr>
          <w:b/>
        </w:rPr>
        <w:t>mödrar²</w:t>
      </w:r>
      <w:r>
        <w:rPr>
          <w:b w:val="0"/>
        </w:rPr>
        <w:t>, kunna överlämna vården av deras barn åt dem själva även i fortsättningen och ge dem det ekonomiska stöd de behöva till sina barns fostran, i den värdigare form som en hjälp av pensions karaktär har i det allmänna medvetandet.</w:t>
        <w:br/>
        <w:br/>
        <w:t xml:space="preserve">Detta också sagt utan att jag på minsta sätt vill förringa eller undervärdera barnavårdsnämndernas gärning, vilken jag tvärtom tillmäter stort värde. Men det kan inte hjälpas — fattigvård och barnavård anses alltjämt vara nära besläktade och betraktas i allmänhet som ett. Härtill kommer, att barnavårdsnämnderna — med den tidigare av denna riksdag beslutade nya uppgiften att handhava hjälpen åt </w:t>
      </w:r>
      <w:r>
        <w:rPr>
          <w:b/>
        </w:rPr>
        <w:t>mödrar²</w:t>
      </w:r>
      <w:r>
        <w:rPr>
          <w:b w:val="0"/>
        </w:rPr>
        <w:t xml:space="preserve"> i nöd, liksom den uppgift som ytterligare kommer att påläggas dem med bidragsförskottsverksamheten — bli så arbetsbetungade, att de knappast orka med flera uppgifter. I städerna går det givetvis att ordna genom anställandet av flera tjänstemän, men på landsbygden ställer detta sig svårare. Genom den av utskottet föreslagna bestämmelsen, att barnavårdsnämnd skall ha rätt att vara representerad vid pensionsnämnds sammanträden då barnbidragsärenden behandlas — med yttranderätt och rätt för barnavårdsnämndens representant att få till protokollet antecknad sin mening — blir det sörjt för det nödiga samarbetet mellan dessa båda nämnder. Utskottets förslag går ju också ut på att barnbidragen skola handhavas av pensionsnämnderna i likhet med vad Kungl. Maj:t föreslagit. Men tillstyrkandet härav sker under viss förutsättning, såsom framgår av utskottets yttrande vid den allmänna motiveringen å sid. 12 i betänkandet.</w:t>
        <w:br/>
        <w:br/>
        <w:t>Fem av utskottets ledamöter däribland undertecknad — ha ansett att något förhandsuttalande beträffande en eventuell omorganisation av barnbidragsverksamheten icke bör göras i detta sammanhang, varför vi reservationsvis yr-</w:t>
        <w:br/>
        <w:br/>
        <w:t>Ang. förslag till lag om barnbidrag m. m. (Forts.) kat, att denna del av motiveringen skall utgå. Riksdagen har redan beslutat, att utredning skall ske rörande en allmän översyn över socialvårdens ordnande, och vi reservanter förutsätta. att ifrågavarande spörsmål härvid vederbörligen beaktas. Frånsett de meningsskiljaktigheter som råda beträffande det lämpligaste organet för barnbidragsverksamhetens handhavande, är det glädjande att kunna konstatera, att det råder fullständig enighet inom utskottet — och jag hoppas även här i kammaren — om denna ekonomiska hjälp åt änkors barn och föräldralösa barn, vilket är hedrande för den svenska riksdagen. Detaljsaker av här omnämnda slag betyda ju dock mindre mot det stora hela.</w:t>
        <w:br/>
        <w:br/>
        <w:t>Betänkligare är naturligtvis, att man från högerns sida ställt sig avvisande mot dyrortsgrupperingen. Även om en sådan härvidlag icke kan tillmätas samma betydelse som beträffande folkpensioneringen, torde det dock icke kunna bestridas, att det ställer sig kostsammare att fostra barn på dyrorter än i billigare ortsgrupper. Jag hoppas också, att riksdagen skall följa utskottet även i denna del av förslaget.</w:t>
        <w:br/>
        <w:br/>
        <w:t>När det så gäller bidragsförskotten, råder det tyvärr inte samma enighet som ifråga om barnbidragen. Beträffande de förstnämnda yrkar man från högern rent avslag. Detta är att beklaga. Ty dels gäller det ju här stora grupper av de sämst ställda barnen i samhället, barn vilkas fäder leva, men försumma sina plikter mot sina barn. Att så är förhållandet i mycket stor utsträckning, bevisas av de siffror angående antalet av dessa försummelser, som jag förut anfört. Dels gäller det indirekt att avlyfta en del av de ekonomiska kostnaderna för dessa barns försörjning — vilken ofta kommer på fattigvården — från kommunerna över på staten.</w:t>
        <w:br/>
        <w:br/>
        <w:t>Sedan råder det ju å andra sidan delade meningar om huru stor andel av dessa kostnader som skall överflyttas från kommunerna till staten. Enligt Kungl. Maj:ts och utskottets förslag bör staten endast bära 21, av kostnaderna för bidragsförskotten medan fyra reservanter inom utskottet anse, att statsverket bör bära "/s av desamma. Man kan förstå dessa sistnämnda synpunkter bättre än de rena avslagsyrkandena. För min del tror jag dock, att det är behövligt med den press på kommunerna, som den större bidragsandelen utgör, för att dessa skola hålla strängare efter de försumliga barnafäderna, än vad fallet måhända skulle bli, ifall staten tar så stor andel som "Is av dessa kostnader.</w:t>
        <w:br/>
        <w:br/>
        <w:t>Jag ber alltså, herr talman, att få yrka bifall till utskottets förslag med den ändring beträffande den allmänna motiveringen till lagförslagen, som föreslås i den av herr Strindlund m. fl. avgivna reservationen.</w:t>
      </w:r>
    </w:p>
    <w:p>
      <w:pPr>
        <w:pStyle w:val="Heading2"/>
      </w:pPr>
      <w:r>
        <w:t>2. Martin Skoglund (–, man)</w:t>
      </w:r>
    </w:p>
    <w:p>
      <w:r>
        <w:rPr>
          <w:b w:val="0"/>
        </w:rPr>
        <w:t>Herr talman! Den fråga vi i dag behandla är av mycket stor betydelse. Den har stor räckvidd socialt sett, när det gäller att hjälpa dem, som det är avsett för, men den har också en mycket stor räckvidd i ekonomiskt hänseende.</w:t>
        <w:br/>
        <w:br/>
        <w:t xml:space="preserve">När jag för min del varit med att biträda lagen om barnbidrag, har det varit för att jag anser, att det är en mycket god gärning att hjälpa ensamstående </w:t>
      </w:r>
      <w:r>
        <w:rPr>
          <w:b/>
        </w:rPr>
        <w:t>mödrar²</w:t>
      </w:r>
      <w:r>
        <w:rPr>
          <w:b w:val="0"/>
        </w:rPr>
        <w:t>, framför allt änkor, att själva uppfostra sina barn.</w:t>
        <w:br/>
        <w:br/>
        <w:t>Vad jag däremot beklagar är, att icke socialministern har haft möjlighet att komma med dessa propositioner tidigare under riksdagen. Den korta tiden har gjort, att utskottsbehandlingen blivit ytterligt forcerad och att utskottet haft mycket få möjligheter att göra de ändringar på den ena och den andra punkten, som det måhända önskat göra.</w:t>
        <w:br/>
        <w:br/>
        <w:t>Det har framför allt under utskottsarbetet, i likhet med vad myndigheterna gjort under remisserna, livligt diskuterats, huruvida det lämpliga organet att handhava barnbidragen skulle vara pensionsnämnderna, som propositionen föreslår, eller barnavårdsnämnderna. Inom utskotet har det funnits en mycket stark majoritet som ansett, att barnavårdsnämnderna borde bli de organ, som skulle handhava denna verksamhet. Det visade sig dock vid de försök, som gjordes att utforma ett förslag i överensstämmelse därmed, att det stötte på så stora svårigheter, att vi, enär utskottet icke ville gå på avslag, blevo nödsakade att i det väsentliga följa Kungl. Maj:t.</w:t>
        <w:br/>
        <w:br/>
        <w:t>Utskottet har dock gjort ett, som Jag betraktar det, mycket betydelsefullt tillägg, när det föreslagit den ändring i lagen, att barnavårdsnämndens ordförande eller den ledamot av barnavårdsnämnden, som denna utser, skall kallas till pensionsnämndens sammanträde. Utskottet har också i motiveringen sagt ut, att det är av vikt att samarbete kommer till stånd mellan pensionsoch barnavårdsnämnderna.</w:t>
        <w:br/>
        <w:br/>
        <w:t>Det är efter den ändringen och sedan utskottet ytterligare erinrat att riksdagen begärt en utredning om socialvården och att dessa frågor då komma att prövas, som jag för min del låtit betänkligheterna fara och biträtt utskottets förslag.</w:t>
        <w:br/>
        <w:br/>
      </w:r>
      <w:r>
        <w:rPr>
          <w:b/>
        </w:rPr>
        <w:t>Fru²</w:t>
      </w:r>
      <w:r>
        <w:rPr>
          <w:b w:val="0"/>
        </w:rPr>
        <w:t xml:space="preserve"> Nordgren nämnde om de reservanter, som finnas och vilka ansett, att en del av utskottets motivering skulle utgå. Jag tror icke, att det sker något farligt, om de skulle få sin vilja fram. Men Jag vill dock, herr talman, bestämt säga, att utskottets utlåtande återgiver vad utskottsmajoriteten har framfört under det att diskussionen pågick om denna fråga.</w:t>
        <w:br/>
        <w:br/>
      </w:r>
      <w:r>
        <w:rPr>
          <w:b/>
        </w:rPr>
        <w:t>Fru²</w:t>
      </w:r>
      <w:r>
        <w:rPr>
          <w:b w:val="0"/>
        </w:rPr>
        <w:t xml:space="preserve"> Nordgren sade också någonting om den reservation angående dyrortsgrupperingen, som jag biträtt. Jag skall icke i detta sammanhang taga upp någon längre diskussion om den frågan. Den ha vi debatterat här vid tidigare tillfällen. Jag ber endast få fästa kammarens uppmärksamhet på att </w:t>
      </w:r>
      <w:r>
        <w:rPr>
          <w:b/>
        </w:rPr>
        <w:t>fru²</w:t>
      </w:r>
      <w:r>
        <w:rPr>
          <w:b w:val="0"/>
        </w:rPr>
        <w:t xml:space="preserve"> Nordgren föreföll mera betänksam, då det gällde dyrortsgrupperingen beträffande dessa förslag, än när det gällde folkpensioneringen. Frågan får väl betraktas såsom avgjord genom det beslut, riksdagen tidigare fattat. Men Jag ber att få understryka, att möter det besvärligheter med dyrortsgrupperingen i fråga om folkpensioneringen, så blir det ännu större svårigheter här. Det kan man även utläsa ur de yttranden, som återfinnas i propositionen.</w:t>
        <w:br/>
        <w:br/>
        <w:t>Har jag alltså icke mycket att invända, utom beträffande dyrortsgrupperingen, då det gäller förslaget till lag om barnbidrag, så har jag betydligt större betänkligheter, när det gäller lagförslaget om förskottering av underhållsbidrag till barn. Denna betänksamhet framträder även i många av de uttalanden, som återfinnas i propositionen, från myndigheter, som äro hörda. De ha yttrat sig på ett sådant sätt, att det i en rad av fall måste betraktas som ett rent avstyrkande. Svenska fattigvårdsoch barnavårdsförbundet Säger, att det funnit det praktiska genomförandet av förskotteringen av underhållsbidragen vara förenat med betydande olägenheter, och det ifrågasätter, huruvida man icke borde tills vidare uppskjuta ett beslut i denna riktning. Styrelsen för svenska stadsförbundet har likartade betänkligheter, och socialstyrelsen säger, att ett genomförande av ett sådant här förslag kommer att märkbart föregripa de möjligheter, som förefinnas till en rationell avvägning av olika hjälpformer.</w:t>
        <w:br/>
        <w:br/>
        <w:t>När Jag alltså har starka skäl, som tala mot den utformning förslaget fått i propositionen, och därtill kommer vad Jag nämnde i början av mitt anförande, nämligen att utskottet har haft mycket kort tid till sitt förfogande och icke kunnat göra de ändringar, som jag för min del anser vara nödvändiga, nödgas</w:t>
        <w:br/>
        <w:br/>
        <w:t xml:space="preserve">Vad som enligt min uppfattning fått en särskilt dålig utformning i denna lag är bestämmelsen angående inkomstgränsen för de ogifta </w:t>
      </w:r>
      <w:r>
        <w:rPr>
          <w:b/>
        </w:rPr>
        <w:t>mödrar²</w:t>
      </w:r>
      <w:r>
        <w:rPr>
          <w:b w:val="0"/>
        </w:rPr>
        <w:t xml:space="preserve">, som skulle komma att erhålla förskottsbidrag. Under det att för den förstnämnda av dessa lagar de för folkpensioneringen gällande grunderna skola tillämpas, har man i detta fall föreslagit, att taxeringsuppgifterna skola vara avgörande. Till att börja med hörde jag till dem i utskottet, som ansågo det vara möjligt göra den ändringen, att man tillämpade folkpensioneringsgrunderna även på det här förslaget. Jag måste dock erkänna, att efter att hava funderat en hel del på detta, har jag kommit till det resultatet, att även detta möter stora svårigheter. Det är onekligen betänkligt att låta två olika myndigheter pröva ärendena, när dessa sedan icke gå till samma överinstans. Om alltså pensionsnämnderna börja använda en tillämpning och barnavårdsnämnderna en annan, och sedan de högre instanserna pröva dem olika, kunna vi komma till svårigheter, som man ingalunda får förbise. Det är förmodligen av denna anledning, som socialministern har gått den väg han gjort och sökt finna en utgångspunkt i taxeringsuppgifterna. Men när man ser litet närmare på vilka möjligheter till ett sakligt bedömande, som dessa ge, blir man minst sagt förskräckt. Ty då man vet, huru taxeringsarbetet går till, så måste man, även om man erkänner, att taxeringsarbetet i regel är noggrant och grundligt utfört, nog säga, att när det gäller denna grupp skattedragare, nämligen unga </w:t>
      </w:r>
      <w:r>
        <w:rPr>
          <w:b/>
        </w:rPr>
        <w:t>kvinnor¹</w:t>
      </w:r>
      <w:r>
        <w:rPr>
          <w:b w:val="0"/>
        </w:rPr>
        <w:t>, som ofta icke ha så stor egen arbetsförtjänst, taxeringsmyndigheterna icke äro så förfärligt noggranna. Det kanske icke finns någon grupp av skatt- Seven medborgare, som slarvar så mycket med sina deklarationer som just denna.</w:t>
        <w:br/>
        <w:br/>
        <w:t>Jag skulle därutöver vilja tillägga, att vad taxeringsuppgifterna beträffar, så äro de nog i regel föråldrade vid det tillfälle, då barnavårdsnämnderna skola använda sig av dem. Taxeringsnämnderna grunda ju sitt beslut på den inkomst, som åtnjutits året förut. Och nu skulle barnavårdsnämnderna vid en betydligt senare tidpunkt få ledning av detta, då inkomsten kanske helt och hållet ändrats för dem, som uppgifterna avse. Vi skola icke heller förglömma, att självdeklarationerna äro handlingar, som icke äro tillgängliga för vem som helst. De äro omgärdade med sekretess och kunna icke utlämnas till vilken som begär det.</w:t>
        <w:br/>
        <w:br/>
        <w:t>När utskottet skulle försöka väga mot varandra de grunder, som gälla för folkpensioneringen, och de grunder, som statsrådet i propositionen föreslagit, fann man, att ingendera voro lämpliga för det föreliggande förslaget. Och då det icke var tid att försöka pröva en tredje utväg, anser jag för min del enbart detta berättiga frågan, huruvida man redan i år skall taga lagen om förskottering av underhållsbidrag, särskilt som man måste säga sig, att detta förslag icke är av den stora betydelse som det första lagförslaget om barnbidragen.</w:t>
        <w:br/>
        <w:br/>
        <w:t>Utöver de svårigheter, jag här nämnt, tillkommer ytterligare, att det blir en omfattande pappersexercis för barnavårdsnämnderna därigenom, att barnavårdsnämnderna skola lämna detta förskottsbidrag och åter söka vad de lagt ut av länsstyrelserna. Länsstyrelserna 1 sin tur måste för att bevaka det allmännas intresse kräva mycket noggranna uppgifter av barnavårdsnämnderna. Man kan därför befara, att det här blir fråga om ett arbete för barnavårdsnämnderna, som kommer att kräva förstärkta arbetskrafter och göra det ytterligt svårt för de kommunala förtroendemännen att fullgöra sitt uppdrag utan att anställa särskilt avlönad personal.</w:t>
        <w:br/>
        <w:br/>
        <w:t>Det är heller icke gott att avgöra, huru denna förskottering kommer att</w:t>
        <w:br/>
        <w:br/>
        <w:t>Det är allt detta sammanlagt, herr talman, som gör, att herr Wistrand och Jag till utskottets betänkande hava fogat en reservation, vari vi förklara, att vi icke vilja vara med om lagförslagets genomförande i det skick, det nu befinner sig.</w:t>
        <w:br/>
        <w:br/>
        <w:t xml:space="preserve">Till sist skulle jag vilja säga ett par ord till </w:t>
      </w:r>
      <w:r>
        <w:rPr>
          <w:b/>
        </w:rPr>
        <w:t>fru²</w:t>
      </w:r>
      <w:r>
        <w:rPr>
          <w:b w:val="0"/>
        </w:rPr>
        <w:t xml:space="preserve"> Nordgren, med anledning av vad </w:t>
      </w:r>
      <w:r>
        <w:rPr>
          <w:b/>
        </w:rPr>
        <w:t>hon²</w:t>
      </w:r>
      <w:r>
        <w:rPr>
          <w:b w:val="0"/>
        </w:rPr>
        <w:t xml:space="preserve"> yttrade angående barnavårdsnämnderna och de krafter, som voro i rörelse för att utvidga barnavårdsnämndernas myndighet och få dem att övervaka även barn till föräldrar, vilka känna sitt ansvar och försöka att efter förmåga ge barnen den vård och fostran, de behöva. </w:t>
      </w:r>
      <w:r>
        <w:rPr>
          <w:b/>
        </w:rPr>
        <w:t>Fru²</w:t>
      </w:r>
      <w:r>
        <w:rPr>
          <w:b w:val="0"/>
        </w:rPr>
        <w:t xml:space="preserve"> Nordgren trodde, att det var lyckligast, om föräldrarna finge sköta sina barn själva så långt det är möjligt och själva omhänderha deras uppfostran. J ag ber att till </w:t>
      </w:r>
      <w:r>
        <w:rPr>
          <w:b/>
        </w:rPr>
        <w:t>fru²</w:t>
      </w:r>
      <w:r>
        <w:rPr>
          <w:b w:val="0"/>
        </w:rPr>
        <w:t xml:space="preserve"> Nordgren få säga ett uppriktigt tack för de synpunkter, </w:t>
      </w:r>
      <w:r>
        <w:rPr>
          <w:b/>
        </w:rPr>
        <w:t>hon²</w:t>
      </w:r>
      <w:r>
        <w:rPr>
          <w:b w:val="0"/>
        </w:rPr>
        <w:t xml:space="preserve"> där framförde. Jag tror, att det finns moderna socialpolitiker också i detta land, som börja ha sådana drömmar, som </w:t>
      </w:r>
      <w:r>
        <w:rPr>
          <w:b/>
        </w:rPr>
        <w:t>fru²</w:t>
      </w:r>
      <w:r>
        <w:rPr>
          <w:b w:val="0"/>
        </w:rPr>
        <w:t xml:space="preserve"> Nordgren befarade. En sådan utveckling skulle vara olycklig. Barnavårdsnämnderna skola taga hand om de barn, vilka icke få den vård, de äro i behov av, och barnavårdsnämnderna skola taga hand om barn till föräldrar, som icke äga förmåga att själva uppfostra sina barn. Men de skola icke bli en dadda, som springer i varje hem och lägger sig i sådant, som icke angår dem. Därför gladde det mig att i dag i denna lagstiftande församling höra </w:t>
      </w:r>
      <w:r>
        <w:rPr>
          <w:b/>
        </w:rPr>
        <w:t>fru²</w:t>
      </w:r>
      <w:r>
        <w:rPr>
          <w:b w:val="0"/>
        </w:rPr>
        <w:t xml:space="preserve"> Nordgren säga dessa ord.</w:t>
        <w:br/>
        <w:br/>
        <w:t>Herr talman! Jag ställer intet yrkande, förrän de olika punkterna komma till behandling.</w:t>
      </w:r>
    </w:p>
    <w:p>
      <w:pPr>
        <w:pStyle w:val="Heading2"/>
      </w:pPr>
      <w:r>
        <w:t>3. Axel Baeckström (Folkpartiet, man)</w:t>
      </w:r>
    </w:p>
    <w:p>
      <w:r>
        <w:rPr>
          <w:b w:val="0"/>
        </w:rPr>
        <w:t xml:space="preserve">Herr talman! TI likhet med </w:t>
      </w:r>
      <w:r>
        <w:rPr>
          <w:b/>
        </w:rPr>
        <w:t>fru²</w:t>
      </w:r>
      <w:r>
        <w:rPr>
          <w:b w:val="0"/>
        </w:rPr>
        <w:t xml:space="preserve"> Nordgren ber Jag få uttrycka min glädje över att detta förslag till lag om barnbidrag nu äntligen kommer att föras i hamn. Jag ber att få uttala min tacksamhet till socialministern, som nu på ett så lyckligt sätt löst denna fråga. Jag är glad dels såsom mångårig ordförande i olika barnvårdsnämnder, dels också såsom präst i svenska kyrkan. Det torde icke vara obekant för riksdagen, att det 1 århundraden i svenska kyrkor har uppsänts böner för änkor och värnlösa. Ännu i denna dag bedes i kyrkan alldeles särskilt för änkor och värnlösa. De fromma i landet se i detta lagförslag en bönhörelse på århundradens böner. Och jag ber att få lyckönska socialministern, att han blivit den Högstes utkorade redskap i denna fråga.</w:t>
        <w:br/>
        <w:br/>
        <w:t xml:space="preserve">Närmaste anledningen till att jag tagit till orda är emellertid den, att Jag blivit ombedd yrka bifall till den reservation, som framförts av </w:t>
      </w:r>
      <w:r>
        <w:rPr>
          <w:b/>
        </w:rPr>
        <w:t>fröken²</w:t>
      </w:r>
      <w:r>
        <w:rPr>
          <w:b w:val="0"/>
        </w:rPr>
        <w:t xml:space="preserve"> Hesselgren. </w:t>
      </w:r>
      <w:r>
        <w:rPr>
          <w:b/>
        </w:rPr>
        <w:t>Fröken²</w:t>
      </w:r>
      <w:r>
        <w:rPr>
          <w:b w:val="0"/>
        </w:rPr>
        <w:t xml:space="preserve"> Hesselgren är av offentligt uppdrag förhindrad att själv närvara och har bett mig att säga några ord. Som kammarens ledamöter se, finns det överst på sidan 33 en blank reservation av </w:t>
      </w:r>
      <w:r>
        <w:rPr>
          <w:b/>
        </w:rPr>
        <w:t>fröken²</w:t>
      </w:r>
      <w:r>
        <w:rPr>
          <w:b w:val="0"/>
        </w:rPr>
        <w:t xml:space="preserve"> Hesselgren beträffande 4 $. </w:t>
      </w:r>
      <w:r>
        <w:rPr>
          <w:b/>
        </w:rPr>
        <w:t>Hennes²</w:t>
      </w:r>
      <w:r>
        <w:rPr>
          <w:b w:val="0"/>
        </w:rPr>
        <w:t xml:space="preserve"> reservation avser att yrka bifall till den motion, som avlämnats av mig och </w:t>
      </w:r>
      <w:r>
        <w:rPr>
          <w:b/>
        </w:rPr>
        <w:t>henne²</w:t>
      </w:r>
      <w:r>
        <w:rPr>
          <w:b w:val="0"/>
        </w:rPr>
        <w:t xml:space="preserve"> och som därjämte är undertecknad av ytterligare tre av kammarens ledamöter. I motionen föreslås ett tillägg till sista stycket i $ 4 i lagen om barnbidrag. Stycket lyder nu så: »Då </w:t>
      </w:r>
      <w:r>
        <w:rPr>
          <w:b/>
        </w:rPr>
        <w:t>kvinna¹</w:t>
      </w:r>
      <w:r>
        <w:rPr>
          <w:b w:val="0"/>
        </w:rPr>
        <w:t>, vars barn eller adoptivbarn erhåller barnbidrag, ingår äktenskap med man, som icke är arbetsoförmögen, indrages barnbidraget.» Nu ha vi föreslagit följande tilllägg: »— — — såvida icke särskilda omständigheter giva vid handen, att det</w:t>
        <w:br/>
        <w:br/>
        <w:t xml:space="preserve">Vi ha i vår motion anfört ett exempel på, huru denna lagparagraf verkar enligt den ordalydelse, som förordas av sammansatta statsoch andra lagutskottet. Vi kunna taga ett exempel ur livet. En </w:t>
      </w:r>
      <w:r>
        <w:rPr>
          <w:b/>
        </w:rPr>
        <w:t>änka²</w:t>
      </w:r>
      <w:r>
        <w:rPr>
          <w:b w:val="0"/>
        </w:rPr>
        <w:t xml:space="preserve"> sitter med tre barn. Då får </w:t>
      </w:r>
      <w:r>
        <w:rPr>
          <w:b/>
        </w:rPr>
        <w:t>hon²</w:t>
      </w:r>
      <w:r>
        <w:rPr>
          <w:b w:val="0"/>
        </w:rPr>
        <w:t xml:space="preserve"> enligt $ 5, 2 mom., om </w:t>
      </w:r>
      <w:r>
        <w:rPr>
          <w:b/>
        </w:rPr>
        <w:t>hon²</w:t>
      </w:r>
      <w:r>
        <w:rPr>
          <w:b w:val="0"/>
        </w:rPr>
        <w:t xml:space="preserve"> bor t. ex. i tredje ortsgruppen, ett barnbidrag på 900 kronor för dessa barn. Men om </w:t>
      </w:r>
      <w:r>
        <w:rPr>
          <w:b/>
        </w:rPr>
        <w:t>hon²</w:t>
      </w:r>
      <w:r>
        <w:rPr>
          <w:b w:val="0"/>
        </w:rPr>
        <w:t xml:space="preserve"> sedan ingår äktenskap, indrages barnbidraget. Om nu det skulle inträffa, att modern avlider och styvfadern sitter med sin avlidna </w:t>
      </w:r>
      <w:r>
        <w:rPr>
          <w:b/>
        </w:rPr>
        <w:t>hustrus²</w:t>
      </w:r>
      <w:r>
        <w:rPr>
          <w:b w:val="0"/>
        </w:rPr>
        <w:t xml:space="preserve"> barn, så får han icke bara 900 kronor utan enligt $ 5, mom. 1, ett barnbidrag på 1,260 kronor. Oss har det förefallit, att denna verkan av lagen 1 viss mån är ganska orättvis, och vi ha därför föreslagit den uppmjukning av denna paragraf, som finns 1 vår motion. För den, som arbetat i barnavården, är det uppenbart, att det finns ingenting, som är så svårt att komma till rätta med, som just styvfädernas försörjningsplikt. Barnavårdsnämnderna måste i oändligt många fall släppa efter på denna försörjningsplikt. Att nu lagen i förslaget fått denna formulering har skett med stöd av den bekanta lagen den 11 juni 1920 om makes underhållsskyldighet mot andra makens barn. Sistnämnda lag har den formuleringen, att försörjningsplikt föreligger endast så länge äktenskapet består. Nu ha vi föreslagit, att när en </w:t>
      </w:r>
      <w:r>
        <w:rPr>
          <w:b/>
        </w:rPr>
        <w:t>änka²</w:t>
      </w:r>
      <w:r>
        <w:rPr>
          <w:b w:val="0"/>
        </w:rPr>
        <w:t xml:space="preserve"> med barn, för vilka </w:t>
      </w:r>
      <w:r>
        <w:rPr>
          <w:b/>
        </w:rPr>
        <w:t>hon²</w:t>
      </w:r>
      <w:r>
        <w:rPr>
          <w:b w:val="0"/>
        </w:rPr>
        <w:t xml:space="preserve"> har pension, gifter sig, skall pensionsnämnden i varje fall kunna avgöra, om icke barnbidraget, där förhållandena så medgiva, skall kunna bibehållas. Vi ha funnit detta vara synnerligen rättvist, ty eljest kommer det att påläggas styvfadern en försörjningsbörda, som i många fall kan vara synnerligen orättvis.</w:t>
        <w:br/>
        <w:br/>
        <w:t xml:space="preserve">Detta skulle visserligen komma att innebära en fördyring vid lagens tilllämpning, men vi ha å andra sidan föreslagit, att om modern skulle avlida och styvfadern själv tager hand om den avlidna </w:t>
      </w:r>
      <w:r>
        <w:rPr>
          <w:b/>
        </w:rPr>
        <w:t>hustruns²</w:t>
      </w:r>
      <w:r>
        <w:rPr>
          <w:b w:val="0"/>
        </w:rPr>
        <w:t xml:space="preserve"> barn, skall han icke få ut det förhöjda bidrag, som utgår till föräldralösa barn, utan det barnbidrag, som utgår till </w:t>
      </w:r>
      <w:r>
        <w:rPr>
          <w:b/>
        </w:rPr>
        <w:t>änka²</w:t>
      </w:r>
      <w:r>
        <w:rPr>
          <w:b w:val="0"/>
        </w:rPr>
        <w:t>. Härigenom skulle möjligen en utjämning kunna äga rum och kostnaderna icke bli så stora.</w:t>
        <w:br/>
        <w:br/>
        <w:t xml:space="preserve">Jag förstår ju, att det är liten utsikt att vinna gehör för detta yrkande. Men jag har på uppdrag av </w:t>
      </w:r>
      <w:r>
        <w:rPr>
          <w:b/>
        </w:rPr>
        <w:t>fröken²</w:t>
      </w:r>
      <w:r>
        <w:rPr>
          <w:b w:val="0"/>
        </w:rPr>
        <w:t xml:space="preserve"> Hesselgren i alla fall velat yrka bifall till </w:t>
      </w:r>
      <w:r>
        <w:rPr>
          <w:b/>
        </w:rPr>
        <w:t>hennes²</w:t>
      </w:r>
      <w:r>
        <w:rPr>
          <w:b w:val="0"/>
        </w:rPr>
        <w:t xml:space="preserve"> reservation, vilket innebär bifall till min motion.</w:t>
      </w:r>
    </w:p>
    <w:p>
      <w:pPr>
        <w:pStyle w:val="Heading2"/>
      </w:pPr>
      <w:r>
        <w:t>4. Ernst Hage (Socialdemokraterna, man)</w:t>
      </w:r>
    </w:p>
    <w:p>
      <w:r>
        <w:rPr>
          <w:b w:val="0"/>
        </w:rPr>
        <w:t>Herr talman! Jag har varit med om att underteckna en reservation rörande $$ 20 och 22 i förslaget till lag om förskottering av underhållsbidrag till barn, d. v. s. det senare av de lagförslag, som här föreligga till behandling. Vårt yrkande i denna reservation går ut på, att staten skall övertaga en större del av kostnaderna för denna sociala verksamhet, än vad som föreslagits av utskottsmajoriteten och i propositionen. Nu har jag emellertid av presidiet fått den upplysningen, att man icke kan få proposition på detta yrkande. Under sådana förhållanden måste ju reservationen betraktas som en förolyckad reservation. Jag skall naturligtvis icke heller göra något yrkande i reservationens riktning, men jag vill bara här lämna en liten förklaring.</w:t>
        <w:br/>
        <w:br/>
        <w:t>Den som representerar en trakt, där kommunerna hava en mycket hög beskattning, den vill gärna passa på vid varje tillfälle, då det är möjligt, att få en liten avbetalning på den skatteutjämning, som vi behöva i dessa skattetyngda kommuner. Vad denna slutliga skatteutjämning beträffar, veta vi ju, att den antagligen kommer ått dröja ganska länge. Vid varje tillfälle, då det kan åstadkommas en liten avbetalning på den där skatteutjämningen till förmån</w:t>
        <w:br/>
        <w:br/>
        <w:t>I övrigt kan man ju säga, att här föreligger till behandling en stor och betydelsefull fråga, och jag har för min del varit med om att tillstyrka båda de här föreliggande förslagen. Jag skulle vilja säga, att denna stora och betydelsefulla huvudfråga är av sådan social innebörd och omfattning, att jag för min del gärna skulle se, att man utan alltför mycken diskussion kunde fatta beslut i denna sak, att man alltså, med ett ord sagt, kunde samlas omkring utskottets förslag och skjuta undan debatter om småsaker. Från denna utgångspunkt skall jag för min del inskränka mig till ett ganska kort anförande.</w:t>
        <w:br/>
        <w:br/>
        <w:t>Jag skall i alla fall i någon mån taga upp till bemötande det anförande, som här hölls av herr Skoglund. Herr Skoglund ville icke vara med om att tillstyrka det senare av de här föreliggande lagförslagen, alltså det om förskottering av underhållsbidrag till barn. Jag måste dock säga, att det skulle vara mycket beklagligt, om detta förslag skulle falla. Även detta syftar nämligen till en mycket betydelsefull och nödvändig social hjälp. Det avser ju, att barnen icke skulle bliva lidande, för det fall att barnets fader är oförmögen eller genom slarv underlåter att betala barnbidrag. Jag tycker, att det är en riktig och sund tanke detta, att barnet icke skall bliva lidande i ett sådant fall. Sedan blir det en senare sak, huru man skall ordna med betalningen till det allmänna. Därvidlag innebär ju emellertid denna lagstiftning, att man skall hålla efter fadern och söka taga ut de underhållsbidrag, som det här är fråga om, på effektivt sätt.</w:t>
        <w:br/>
        <w:br/>
        <w:t>Nu kan man möjligen säga, att det finns saker i detta lagförslag, som kanske icke äro lagtekniskt utformade på ett fullkomligt sätt. Det är möjligt, att det förhåller sig så; den invändningen har även framförts inom utskottet. Och jag kan mycket väl förstå, att man på vissa punkter rest invändningar emot utskottets formulering av lagtexten. Men Jag tröstar mig i detta fall — såsom jag tröstat mig många, många gånger tidigare, då det varit fråga om att åstadkomma en ny lagstiftning — med de gamla argument, som jag ofta framfört från denna talarstol, nämligen att om vi finna, att det behöver företagas justeringar, så justera vi lagen, sedan erfarenheten lärt oss, vad som behöver justeras. Om man alltså antager ett sådant lagförslag som detta, vinner man ju därmed i alla fall, att själva lagen icke fördröjes; sedan blir det en senare sak att, när erfarenheterna ge vid handen, att vissa justeringar behövas, göra dessa i detaljpunkter. Så ha vi gjort i många, många fall vid sociallagstiftningens genomförande här i riksdagen. Herr Skoglunds argumentering och utgångspunkt kan jag därför icke tillmäta så stor betydelse, som han tyckes göra.</w:t>
        <w:br/>
        <w:br/>
        <w:t>Jag skulle kunna inskränka mig till detta, men jag skall beröra ännu en liten sak. Jag har varit med om den reservation, i vilken man opponerar sig mot en viss del av motiveringen. Det gäller ju där huru man skall förorda att barnavårdsnämnderna skola ha hand om denna verksamhet. I den frågan skulle jag vilja säga, att det finns ingen anledning, som saken nu ligger till, att ge något slags positivt förord, som utskottet här har givit, åt den tanken. Varför kan man icke låta den saken stå öppen? Utskottet skriver emellertid: »Enligt utskottets mening måste det nämligen anses vara av stor vikt, att barnavårdsnämnderna anförtros sådana uppgifter, att deras verksamhet anpassas till den utveckling på familjeoch barnavårdens område, i vilken den nu föreslagna reformen utgör ett betydelsefullt led.&gt; Det är på sätt och vis, kan man säga, ett ganska positivt uttalande till förmån för att vid en eventuell reform barnavårdsnämnderna skola ha hand även om den verksamhet, som nu</w:t>
        <w:br/>
        <w:br/>
        <w:t xml:space="preserve">Ang. förslag till lag om barnbidrag m. m. (Forts.) tillskapas genom det första av dessa bägge lagförslag. För några dagar sedan — det har också </w:t>
      </w:r>
      <w:r>
        <w:rPr>
          <w:b/>
        </w:rPr>
        <w:t>fru²</w:t>
      </w:r>
      <w:r>
        <w:rPr>
          <w:b w:val="0"/>
        </w:rPr>
        <w:t xml:space="preserve"> Nordgren sagt — gingo vi in för ett beslut, som syftade till att överhuvud taget hela denna sociala verksamhet och dess organisation skulle bli föremål för en förutsättningslös utredning, men i dag skulle vi alltså gå emot detta beslut på sätt och vis och uttala oss för en icke förutsättningslös utredning på denna punkt. Det tycker jag är fullständigt orimligt att man kan vara med om något sådant. Jag ber alltså att få förorda och yrka bifall till den reservation, som finnes på denna punkt och som är avgiven av herrar Strindlund, Andersson i Prästbol, Erlander, mig och </w:t>
      </w:r>
      <w:r>
        <w:rPr>
          <w:b/>
        </w:rPr>
        <w:t>fru²</w:t>
      </w:r>
      <w:r>
        <w:rPr>
          <w:b w:val="0"/>
        </w:rPr>
        <w:t xml:space="preserve"> Nordgren. Jag skulle vilja särskilt tillägga: Huru skall det t. ex. gå, om denna förutsättningslösa utredning skulle resultera i, att den där gamla tanken på att åstadkomma en social nämnd skulle bli verklighet? Då måste man i alla fall överge den tanken, att barnavårdsnämnderna skulle ta hand om denna angelägenhet, såvitt jag kan förstå.</w:t>
        <w:br/>
        <w:br/>
        <w:t>Herr talman, jag skall inskränka mig till detta och ber nu att få yrka bifall till utskottets förslag, evad det gäller första punkten, som här föreligger till behandling.</w:t>
      </w:r>
    </w:p>
    <w:p>
      <w:pPr>
        <w:pStyle w:val="Heading2"/>
      </w:pPr>
      <w:r>
        <w:t>5. Gustav Möller (Socialdemokraterna, man)</w:t>
      </w:r>
    </w:p>
    <w:p>
      <w:r>
        <w:rPr>
          <w:b w:val="0"/>
        </w:rPr>
        <w:t>Herr talman! Jag skall först tillåta mig att uttala ett tack till det sammansatta utskottet för den behandling som dessa mycket viktiga propositioner ha underkastats. Jag är uppriktigt glad över, att riksdagen nu alldeles uppenbart är färdig att fatta ett beslut, som enligt min uppfattning är det viktigaste — jämte beslutet om lantarbetarnas arbetstid — som denna riksdag haft att fatta. Jag får uppriktigt säga, att när jag hört det väldiga väsen, som stått kring lärarlöner och spritlagstiftning, eller vad den kallas, så har jag varit ganska road. För min personliga del anser jag uppriktigt sagt den fråga som här föreligger till avgörande vara av ofantligt mycket större betydelse för tusentals och åter tusentals medborgare i vårt samhälle än någon av de frågor, omkring vilka de stora sensationella debatterna stått, främst kanske utom, men, åtminstone delvis, också inom riksdagen.</w:t>
        <w:br/>
        <w:br/>
        <w:t xml:space="preserve">Jag kan kanske få tillåta mig att säga ett par ord, som äro en smula ovidkommande. Jag har ända sedan jag första gången var socialminister haft ett mycket stort intresse för att bringa till lösning frågan om änkors och ogifta </w:t>
      </w:r>
      <w:r>
        <w:rPr>
          <w:b/>
        </w:rPr>
        <w:t>mödrars²</w:t>
      </w:r>
      <w:r>
        <w:rPr>
          <w:b w:val="0"/>
        </w:rPr>
        <w:t xml:space="preserve"> barn. Jag tog upp spörsmålet genom ett uppdrag till pensionsstyrelsen redan på hösten 1924, men omständigheterna ha ju gjort, att arbetet sedermera praktiskt taget fåt vila. När en regering rätt sent skickade ärendet till den stora pensionskommittén, som återlämnade hela frågan år 1934 — alltså tio år efter det ett första initiativ tagits för att åstadkomma en lösning — till Kungl. Maj:t, betraktade jag det som en synnerligen trängande åtgärd att omedelbart tillsätta en ny utredning, en utredning, som slutligen har resulterat i dessa lagförslag. Jag hade hoppats, att redan till 1936 års riksdag kunna komma med en proposition i dessa ämnen. Det visade sig emellertid, att vederbörande kommitté blev så pass sent färdig bara med förslaget om barnbidrag till änkors barn, att det skulle vålla stora svårigheter att i den av arbete överhopade riksdagen lägga fram förslag redan föregående år, och då kommittén för övrigt skulle fortsätta sitt arbete med uppgiften att söka lösa samma Spörsmål beträffande ogifta </w:t>
      </w:r>
      <w:r>
        <w:rPr>
          <w:b/>
        </w:rPr>
        <w:t>mödrars²</w:t>
      </w:r>
      <w:r>
        <w:rPr>
          <w:b w:val="0"/>
        </w:rPr>
        <w:t xml:space="preserve"> barn och s. k. skilsmässobarn, ansåg jag det vara lämpligt att vänta till 1937, då bägge frågorna kunde komma att behandlas samtidigt. |</w:t>
        <w:br/>
        <w:br/>
        <w:t>Nu har en ärad talare på Östgötabänken nämnt att propositionen kommit sent. Ja, jag försäkrar, att från socialdepartementets sida har ingenting försummats för att få fram propositionen i god tid. Men jag vill fästa uppmärksamheten</w:t>
        <w:br/>
        <w:br/>
        <w:t>Ang. förslag till lag om barnbidrag m. m. (Forts.) på, att kommitténs förslag kom fram den 18 december förra året, att själva förslaget var av den natur, att även kommunerna ute i landet helst borde få tillfälle att yttra sig i ärendet och att det städse många gånger klagats på att Kungl. Maj:t ger remissmyndigheterna för kort remisstid o. s. v. Allt detta gjorde att man icke, särskilt med hänsyn till att vissa kommuner skulle höras, kunde sätta en alltför kort remisstid. Dessutom gällde det ju ett mycket omfattande lagförslag, där en ingående prövning av åtskilliga av förslagets paragrafer —, även om det icke fanns någon erinran att göra mot de belopp som skulle utgå — krävde ett ganska ingående övervägande. Ett övervägande som enligt sakens natur måste bli alldeles särskilt viktigt var, huru organisationen av denna bidragsverksamhet skulle gestaltas med hänsyn till att det ena förslaget pekade på barnavårdsnämnderna och det andra på pensionsnämnderna. När man som jag vet inom vederbörande utskott mycket livligt har diskuterat frågan huruvida icke bägge bidragen skulle kunna förläggas till barnavårdsnämnderna, så vill jag bara upplysa om, att det finns kanske intet spörsmål inom hela detta lagstiftningskomplex som har varit föremål för ett så intensivt övervägande som frågan om icke en dylik anordning skulle vara möjlig. Vi ha av många skäl, som jag icke nu skall komma in på, slutligen stannat för att detta icke rimligen kunde låta sig göra, och därför kom också Kungl. Maj:ts förslag att i det avseendet gå på samma linje som vederbörande kommittés. Jag nämner detta därför att jag blev litet överraskad, då jag fick de första upplysningarna från utskottet, som tydde på att man där eventuellt trodde sig om att kunna ett, tu, tre lagstifta på denna mycket svåra punkt, när en kungl. kommitté hade grubblat igenom och, jag är övertygad därom, ytterst ingående och omsorgsfullt diskuterat om en sådan möjlighet kunde föreligga, en punkt, där sedermera Kungl. Maj:t av ganska naturliga skäl också, som jag nämnt, varit alldeles särskilt intensiv i sina överväganden.</w:t>
        <w:br/>
        <w:br/>
        <w:t xml:space="preserve">Jag betraktar alltså dessa förslag såsom synnerligen betydelsefulla. De lägga in under den sociala vårdnaden, som skall utmärka ett modernt civiliserat samhälle, ett nytt och ganska betydande område. Jag behöver kanske icke här särskilt framhålla ett sådant fall som att en person vid unga år blir </w:t>
      </w:r>
      <w:r>
        <w:rPr>
          <w:b/>
        </w:rPr>
        <w:t>änka²</w:t>
      </w:r>
      <w:r>
        <w:rPr>
          <w:b w:val="0"/>
        </w:rPr>
        <w:t xml:space="preserve"> med kanske två eller tre oförsörjda barn. </w:t>
      </w:r>
      <w:r>
        <w:rPr>
          <w:b/>
        </w:rPr>
        <w:t>Hon²</w:t>
      </w:r>
      <w:r>
        <w:rPr>
          <w:b w:val="0"/>
        </w:rPr>
        <w:t xml:space="preserve"> står utan försörjningsmöjligheter, </w:t>
      </w:r>
      <w:r>
        <w:rPr>
          <w:b/>
        </w:rPr>
        <w:t>hon²</w:t>
      </w:r>
      <w:r>
        <w:rPr>
          <w:b w:val="0"/>
        </w:rPr>
        <w:t xml:space="preserve"> har kanske haft det ganska bra ställt, kanske mannen har haft en ganska god inkomst, men han efterlämnar i alla fall ingenting, själv är </w:t>
      </w:r>
      <w:r>
        <w:rPr>
          <w:b/>
        </w:rPr>
        <w:t>hon²</w:t>
      </w:r>
      <w:r>
        <w:rPr>
          <w:b w:val="0"/>
        </w:rPr>
        <w:t xml:space="preserve"> oprövad som </w:t>
      </w:r>
      <w:r>
        <w:rPr>
          <w:b/>
        </w:rPr>
        <w:t>arbeterska³</w:t>
      </w:r>
      <w:r>
        <w:rPr>
          <w:b w:val="0"/>
        </w:rPr>
        <w:t xml:space="preserve">, men </w:t>
      </w:r>
      <w:r>
        <w:rPr>
          <w:b/>
        </w:rPr>
        <w:t>hon²</w:t>
      </w:r>
      <w:r>
        <w:rPr>
          <w:b w:val="0"/>
        </w:rPr>
        <w:t xml:space="preserve"> måste söka sig in på arbetsmarknaden för att överhuvud kunna få försörjningsmöjligheter för sina barn. Det finns </w:t>
      </w:r>
      <w:r>
        <w:rPr>
          <w:b/>
        </w:rPr>
        <w:t>mödrar²</w:t>
      </w:r>
      <w:r>
        <w:rPr>
          <w:b w:val="0"/>
        </w:rPr>
        <w:t xml:space="preserve"> som befinna sig i utomordentliga svårigheter, och man må säga om fattigvården vad man vill, men det ligger ett slags tiggeri i hänvändelsen till fattigvården. Det är därför det är så värdefullt att få klara regler om rätten till ett visst bidrag, så att det icke behöver vara någon tvekan varken för sökanden eller dem som eventuellt ha att pröva ansökningen, om uppfyllelsen av vissa objektiva, i lag föreskrivna villkor. Och så få de sina bidrag. Det kommer att medföra lättnader i det betryck, som unga änkor äro underkastade, men som kanske många av kammarens ledamöter ha svårt att göra sig en riktig föreställning om.</w:t>
        <w:br/>
        <w:br/>
        <w:t xml:space="preserve">Jag nämnde, att jag tyckte det var angeläget, att om möjligt bägge förslagen, både det om barnbidrag och bidragsförskottering, kunde föreläggas samma riksdag, och jag skulle ju ha varit mycket ledsen, om riksdagen skulle ha svarat Kungl. Maj:t att det är onödigt med denna sammankoppling, att vi tvärtom mycket väl kunna bifalla den ena halvan men låta den andra anstå. Jag skall icke gå in på frågan om vad en sådan likartad ordning för ogifta </w:t>
      </w:r>
      <w:r>
        <w:rPr>
          <w:b/>
        </w:rPr>
        <w:t>mödrar²</w:t>
      </w:r>
      <w:r>
        <w:rPr>
          <w:b w:val="0"/>
        </w:rPr>
        <w:t xml:space="preserve"> och frånskilda </w:t>
      </w:r>
      <w:r>
        <w:rPr>
          <w:b/>
        </w:rPr>
        <w:t>mödrar²</w:t>
      </w:r>
      <w:r>
        <w:rPr>
          <w:b w:val="0"/>
        </w:rPr>
        <w:t xml:space="preserve"> kan ha för betydelse. Häri ligger ju att samhället uttryckligen förklarar, att det icke i och för sig betraktar det som ett sådant brott,</w:t>
        <w:br/>
        <w:br/>
        <w:t xml:space="preserve">Jag skall icke uppehålla dagens debatt med några långa utläggningar. Jag skall nu bara tillåta mig att yttra ett ord om den ena reservationen, den som är avgiven av herr Strindlund m. fl. rörande motiveringen. Jag skall gärna erkänna, att det finns goda skäl för denna reservation, ty det kan ju otvivelaktigt ifrågasättas, huruvida riksdagen, sedan den redan har fattat beslut om en skrivelse rörande den allmänna översynen av socialvården, i ett därefter kommande betänkande skall ge sig in på ett så delikat ämne som att skriva något slags specialdirektiv. Men jag betraktar å andra sidan vad utskottet skriver som fullkomligt ofarligt för de direktiv, som sedermera skulle utarbetas rörande den sociala översynen. Jag vill fästa uppmärksamheten på, att när man skall gå in på denna s. k. sociala översyn, kan man icke begränsa sig, som man på åtskilliga håll inom riksdagen tycks ha föreställt sig, till att bara ta upp frågan om vilka organ som skola handhava vissa av dessa sociala vårduppgifter, utan själva denna utredning måste enligt sakens natur också taga upp en rad sakfrågor till prövning, som skola avse att i lagstiftningen söka avlägsna ojämnheter, som kunna ha uppkommit och som vi veta utmärka bl. a. denna lagstiftning, som riksdagen nu står färdig att besluta. Skall en sådan översyn utföras, föreställer jag mig, att den t. ex. får ta upp spörsmålet, om icke tiden snart kan vara mogen att flytta invaliditetsersättningen från pensionsstyrelsen till sjukkassorna. Sjukkassorna befinna sig för närvarande i en mycket snabb utveckling. De hinder, som förelågo för att biträda dåvarande pensionskommitténs förslag på den punkten, förminskas år för år, och det kommer följaktligen att bli möjligt att finna utvägar på den punkten. Men flyttar man ärendena om invaliderna från pensionsstyrelsen till andra organ, exempelvis sjukförsäkringen, så förloras ju också intresset för att bibehålla ärendena om invalidernas barn under pensionsnämnderna, — dessa ärenden hänga ju intimt samman. Hur man skall ordna denna sak vill jag icke yttra mig om i dag, det är praktiskt taget omöjligt. Det ligger i sakens natur, att hela frågan om barnavårdsnämndernas verksamhet, om däri skall ingå en slags direkt understödjande verksamhet eller ej, också kommer i stöpsleven. Vad det kan resultera i, kan ingen människa veta någonting om i dag. Jag föreställer mig, att utvecklingen måste gå dithän, att man försöker centralisera, framför allt lokalt, så stor del av alla de olika grenarna som överhuvud är möjligt, så att man får en översyn av de sociala understödsbehoven på ett ställe. Vi ha tagit det första steget med socialregistret; det kommer flera steg, men jag hoppas, att det kommer icke att inskränka sig till frågan om organisationen. Jag kan nämna vissa spörsmål, som äro berörda här, t. ex. av herr Beeckström, som talade om en </w:t>
      </w:r>
      <w:r>
        <w:rPr>
          <w:b/>
        </w:rPr>
        <w:t>änka²</w:t>
      </w:r>
      <w:r>
        <w:rPr>
          <w:b w:val="0"/>
        </w:rPr>
        <w:t xml:space="preserve">, som gifte om sig, så att </w:t>
      </w:r>
      <w:r>
        <w:rPr>
          <w:b/>
        </w:rPr>
        <w:t>hennes²</w:t>
      </w:r>
      <w:r>
        <w:rPr>
          <w:b w:val="0"/>
        </w:rPr>
        <w:t xml:space="preserve"> barn få styvfader. Här kan man måhända tänka sig en form, där i viss utsträckning barnbidraget bibehålles. Här är vidare frågan om barn med okänd fader, — den frågan är icke löst i detta lagförslag. Det finns vissa sådana spörsmål, som efter min uppfattning måste hänskjutas till denna kommitté, som skall göra den stora översynen över hela denna s. k. socialvård. Detta gör, att jag betraktar vad utskottet skrivit såsom fullkomligt ofarligt, och därför har jag ingenting att invända, om andra kammaren biträder utskottets förslag, — ty jag tror att reservanterna kunna vara ganska lugna för att när den där översynen skall ske, måste den arbeta på mycket självständigare linjer beträffande hela den verksamhet den får sig anförtrodd, än att bara se efter vad sammansatta statsoch andra lagutskottet ha skrivit i dessa punkter. Den skall naturligtvis pröva detta, det ligger i sakens natur, det kan den icke undgå, men det kan mycket väl hända, att den finner,</w:t>
        <w:br/>
        <w:br/>
        <w:t>Jag har velat säga detta. Jag har förstått det så, att man genom att skriva på detta sätt har undgått en kanske allvarligare tvist i organisationsfrågan, vilket eljest står som ett perspektiv, och därför har jag som sagt ingen erinran att göra, om riksdagen så att säga konfirmerar den kompromiss, som kan ligga 1 denna formulering. Jag tror icke heller, att reservanterna behöva betrakta ett riksdagsbeslut i enlighet med utskottets förslag även på denna punkt på annat sätt, än att man har gjort en varning. Men det räcker också efter min uppfattning med en varning. Jag kan icke tro, att det på något sätt kommer att få något avgörande inflytande på den framtida gestaltningen av dessa ting.</w:t>
        <w:br/>
        <w:br/>
        <w:t>Ja, herr talman, jag har icke mera att anföra; jag hoppas, att utskottets förslag skall vinna andra kammarens bifall, och jag är som sagt mycket glad över pr sådant beslut kan fattas, därför att det bidrar till att civilisera vårt sam-</w:t>
      </w:r>
    </w:p>
    <w:p>
      <w:pPr>
        <w:pStyle w:val="Heading2"/>
      </w:pPr>
      <w:r>
        <w:t>6. Johan Persson (Socialdemokraterna, man)</w:t>
      </w:r>
    </w:p>
    <w:p>
      <w:r>
        <w:rPr>
          <w:b w:val="0"/>
        </w:rPr>
        <w:t xml:space="preserve">Herr talman! Jag skall be att få instämma i det anförande, varmed </w:t>
      </w:r>
      <w:r>
        <w:rPr>
          <w:b/>
        </w:rPr>
        <w:t>fru²</w:t>
      </w:r>
      <w:r>
        <w:rPr>
          <w:b w:val="0"/>
        </w:rPr>
        <w:t xml:space="preserve"> Nordgren inledde dagens debatt. Det anförandet var buret av en utomordentlig sakkunskap på här ifrågavarande område och av ett socialt patos, som åtminstone på mig gjorde ett synnerligen djupt intryck. Jag skall icke dölja, att i det sammansatta utskottet meningarna varit litet delade om organisationen av denna barnbidragsverksamhet. I bör- Jan av utskottets arbete kunde man nog förmärka, att en synnerligen säker majoritet var inne på linjen att överföra denna bidragsverksamhet till barnavårdsnämnderna. Jag kom själv att tillhöra majoriteten bland annat beroende därpå, att jag vid genomläsandet av den kungl. propositionen fann, att flertalet av de avgivna remissyttrandena förordat en sådan linje. Jag vill nämna, att exempelvis pensionsstyrelsen, som man givetvis i ett fall som detta måste anse besitta en ganska stor sakkunskap, bestämt sagt ifrån, att barnavårdsnämnderna borde vara de kommunala organ, som skulle ha hand om denna verksamhet. På liknande sätt yttrade sig statskontoret, ett flertal länsstyrelser, stadsfullmäktige i ett flertal städer samt en hel del institutioner av olika slag. Det är därför ganska förklarligt om man från början fick det intrycket, att barnavårdsnämnden skulle vara det lämpliga organet i detta fall.</w:t>
        <w:br/>
        <w:br/>
        <w:t>När vi emellertid kommo spörsmålet litet närmare in på livet funno vi, att det var omöjligt att som saken låg till lösa organisationsfrågan på det sätt vi tänkt oss. Vi frånföllo därför vår tidigare uppfattning och gingo över till den linje, som föreslagits i den kungl. propositionen. Men nu är det ju så med oss människor att om vi en gång bibringats en viss uppfattning så vilja vi sedan också försvara densamma. Denna vår tidigare uppfattning finns nu så att säga bevarad i utskottets motivering, och jag skall be att få citera ur denna själva tvistefrågan. Jag överlåter sedan åt de närvarande att avgöra, huruvida det skulle ligga någon fara uti att låta dessa ord stå kvar 1 utskottsutlåtandet. Vi ha som sagt i motiveringen skrivit följande: »Obestridligt är, såsom departementschefen framhållit, att den nu föreslagna organisationen kommer att medföra ytterligare splittring inom socialvården. Då utskottet nu tillstyrker den av Kungl. Maj:t föreslagna organisationen av barnbidragsverksamheten, sker detta under förutsättning, att vid den allmänna översyn, som kan förväntas, denna fråga underkastas förnyad prövning, därvid lämpligheten att anförtro barnvårdsnämnderna denna verksamhet bör</w:t>
        <w:br/>
        <w:br/>
        <w:t>Det är alldeles självklart, att man vid den översyn, som sålunda skall företagas, inte kan undgå att ägna denna fråga en alldeles speciell uppmärksamhet. Jag för min del skulle tro, att vare sig man beslutar en förutsättningslös utredning eller förfar på annat sätt, så måste vederbörande ägna detta spörsmål en ganska ingående uppmärksamhet. Alla måste nämligen erkänna, att det inte kan vara riktigt att en familj med tre barn på grund av de föreliggande omständigheterna skall för att få hjälp behöva gå till fattigvården för det ena barnet, till pensionsnämnden för det andra och till barnavårdsnämnden för det tredje. Något sådant kan inte vara rimligt och riktigt, vilket jag förmodar litet var erkänner.</w:t>
        <w:br/>
        <w:br/>
        <w:t>Jag ber, herr talman, att med det anförda få yrka bifall till utskottets hemställan.</w:t>
      </w:r>
    </w:p>
    <w:p>
      <w:pPr>
        <w:pStyle w:val="Heading2"/>
      </w:pPr>
      <w:r>
        <w:t>7. Tage Erlander (Socialdemokraterna, man)</w:t>
      </w:r>
    </w:p>
    <w:p>
      <w:r>
        <w:rPr>
          <w:b w:val="0"/>
        </w:rPr>
        <w:t>Herr talman! Jag delar fullkomligt socialministerns uppfattning, att det skrivsätt, som det sammansatta utskottet begagnar i motiveringen, är ganska ofarligt. Jag tror mig kunna försäkra socialministern, att vi fem reservanter skrivit som vi gjort inte för att skydda Kungl. Maj:t mot eventuella direktiv från riksdagens sida utan för att skydda oss själva mot att eventuellt kunna tillskrivas åsikter, som vi inte hyst. Utskottsmajoriteten visade nämligen en så stor benägenhet att gå på barnvårdsnämnderna, att vi fem reservanter inte kunde följa med. I denna situation ansåg åtminstone jag, att jag borde skydda mig själv genom att i en reservation tala om, att jag inte delade entusiasmen för att låta barnvårdsnämnderna ta hand om denna verksamhet. Detta är anledning till att mitt namn återfinns under reservationen.</w:t>
        <w:br/>
        <w:br/>
        <w:t xml:space="preserve">Jag skulle dessutom vilja säga några ord till herr Skoglund. Han slutade sitt anförande med några ord, som gåvo uttryck åt den uppfattning som just minoriteten i utskottet hyst i denna fråga. Han sade, att vi inte skola låta harnvårdsnämnderna bli någon slags dadda som springer omkring i familjerna och ser efter hur man sköter sig. Detta, herr Skoglund, är just den motivering, reservanterna haft för sitt ställningstagande. Vi ha nämligen frågat oss vilken mening samhället kunde ha med denna </w:t>
      </w:r>
      <w:r>
        <w:rPr>
          <w:b/>
        </w:rPr>
        <w:t>änkebarnspensionering²</w:t>
      </w:r>
      <w:r>
        <w:rPr>
          <w:b w:val="0"/>
        </w:rPr>
        <w:t>. Svaret har blivit, att meningen är att ge de hem, där inkomsttagaren gått bort, en möjlighet till sådana inkomster att man kan hålla hemmet samman. Vi reservanter vilja emellertid inte att man i dessa hem skall släppa in samhälleliga hjälporgan, som ha rätt att inspektera hur dessa änkor sköta sig och sina barn. Sista delen av herr Skoglunds inlägg vittnar således om, att han är tillräckligt vidsynt för att dela den uppfattning, som ligger bakom vårt strävande att, när det låter sig göra, i stället för allmosor införa ett socialförsäkringssystem i detta land. .</w:t>
        <w:br/>
        <w:br/>
        <w:t>Det var en annan passus i herr Skoglunds anförande, som var ganska intressant, och som visar hur svårt det i själva verket skulle ha varit att gå på barnavårdsnämnderna — och det var när herr Skoglund talade om förskottsbidragen och svårigheten att kunna tolka förskottslagens 5 8. Herr Skoglund sade något som gladde mig mycket, nämligen att han förstod risken av att ha två organ för att tolka samma bestämmelser om inkomstprövningen. Ja, det är just detta som varit svårigheten eller åtminstone en av svårigheterna, då det gällt att lägga frågan om bidraget hos barnavårdsnämnderna. Herr</w:t>
        <w:br/>
        <w:br/>
        <w:t>Däremot kan jag inte riktigt förstå herr Skoglund, när han tar svårigheten med inkomstprövningen till förevändning för att yrka avslag på lagen om förskottsbidrag. Vilka olyckor skulle det kunna inträffa, om nu 8 5 är så otydlig som herr Skoglund säger? Jag tror inte, att det skulle bli i så värst många fall som en person, som har rätt till förskottsbidrag, inte skulle få detta på grund av någon felaktighet i lagens formulering. Risken föreligger ju, men den som råkar ut för detta, har ju alltid möjligheten att kunna vända sig till samhällets nuvarande hjälporgan. Detta är den enda verkliga risk som kan föreligga enligt herr Skoglunds mening på grund av den dåliga utformningen av 5 $ i lagen om förskott. Den risken är väl emellertid, herr Skoglund, inte så stor att man kan ta den till förevändning för att helt enkelt fälla hela lagförslaget. Jag tror att det vore riktigare av herr Skoglund att säga, att han inte vill vara med om en lagstiftning på detta område. Det vore riktigare än att redovisa en sådan obetydlighet, som herr Skoglund nu kom med, såsom skäl för ett avslagsyrkande.</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