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813</w:t>
      </w:r>
    </w:p>
    <w:p>
      <w:r>
        <w:rPr>
          <w:b/>
        </w:rPr>
        <w:t xml:space="preserve">Datum: </w:t>
      </w:r>
      <w:r>
        <w:t>1938-03-09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Sandegård (Socialdemokraterna, man)</w:t>
      </w:r>
    </w:p>
    <w:p>
      <w:r>
        <w:rPr>
          <w:b w:val="0"/>
        </w:rPr>
        <w:t>Jag har, herr talman, begärt ordet för att på en punkt replikera min ärade och vördade vän biskop Bergqvist, men innan jag det gör, vill jag i alla fall säga ett par ord till herr Gustavson.</w:t>
        <w:br/>
        <w:br/>
        <w:t>När herr Gustavson, om jag fattade herr Gustavson rätt, vill bestrida, att människor, som ropa på reformer på detta område, kunde vara religiösa människor, och i stället förutsätter, att »ärliga och religiösa människor», såsom jag visst uttryckte mig i mitt första anförande, höra inte till den sortens folk, som man hör ropa på reformer, skulle jag i all enkelhet vilja fråga herr Gustavson — jag hoppas, att herr Gustavson inte tar illa upp: hur läser herr Gustavson sitt Fader Vår? Ber man inte där om att Guds rike skall komma hit och att Guds vilja skall ske här? Ber man inte i den bönen bl. a., att alla människor skola få sitt dagliga bröd? Det förefaller att vara ett ganska omfattande och storartat reformprogram, Fader Vår! Men man kan ju göra något annat av det också, t. ex. det, som enligt Luther består i att bara sitta i kyrkan, bedja och sjunga psalmer, göra det hela till en vacker religiös stämning, medan människorna kanske svälta och frysa och ha det svårt där utanför kyrkans murar. Men jag förstår ju att herr Gustavson inte menar, att det skall vara så.</w:t>
        <w:br/>
        <w:br/>
        <w:t xml:space="preserve">Det var en annan fråga av herr Gustavson, som jag också vill svara på — i övrigt måste jag lämna de frågor han framställde åt det värde de tydligtvis hade såsom mera retoriska frågor. Herr Gustavson undrade, hur högt i taket det egentligen skulle kunna vara i kyrkan, för att den fortfarande skulle få kallas kyrka. Jag tycker, att taket rätteligen inte borde sitta lägre än uppe i himlen. Om kyrkan vill representera Vår Herre, som låter sin sol gå upp över både onda och goda, bör </w:t>
      </w:r>
      <w:r>
        <w:rPr>
          <w:b/>
        </w:rPr>
        <w:t>hon²</w:t>
      </w:r>
      <w:r>
        <w:rPr>
          <w:b w:val="0"/>
        </w:rPr>
        <w:t xml:space="preserve"> väl inte ha någonting emot att förverkliga just det, som antyddes i det citat, som herr Gustavson tog upp. Det citatet återgav ett yttrande av Nathan Söderblom, som ville, att kyrkan skulle vara öppen för alla, »som på något sätt önskade höra </w:t>
      </w:r>
      <w:r>
        <w:rPr>
          <w:b/>
        </w:rPr>
        <w:t>henne²</w:t>
      </w:r>
      <w:r>
        <w:rPr>
          <w:b w:val="0"/>
        </w:rPr>
        <w:t xml:space="preserve"> till». Inga andra gränser, absolut inga andra, bör man uppställa. Människor må få ha vilka åsikter de vilja, herr Gustavson, både politiskt och religiöst. De må tro på en personlig Gud eller förneka en personlig Gud. De må tro på eller förneka </w:t>
      </w:r>
      <w:r>
        <w:rPr>
          <w:b/>
        </w:rPr>
        <w:t>jungfrufödelse²</w:t>
      </w:r>
      <w:r>
        <w:rPr>
          <w:b w:val="0"/>
        </w:rPr>
        <w:t>, kroppslig uppståndelse och annat. Men folk, som överhuvud taget, när det gäller religion, vilja, om jag så får säga, ställa sig på samma linje som nasaréen bör väl ändå inte förvägras åtminstone religiöst namn.</w:t>
        <w:br/>
        <w:br/>
        <w:t>Så skulle jag vända mig till herr Bergqvist. Han är en sympatisk herre liksom vår ärkebiskop. Jag vill endast konstatera — det är kanske elakt, men man måste ju vara elak någon gång också — att biskop Bergqvists ideal av kyrka — inte hela idealet men i vissa avseenden hans ideal — tydligtvis är en institution, som staten betalar och som biskopar och präster sköta som de vilja. Alla interna frågor, d. v. s. de viktigaste, såsom angående psalmbok, bibelöversättning, hur det skall gå till vid gudstjänsterna, vad som skall förkunnas och hur barnen skola undervisas, tillhör det präster och biskopar att ensamma avgöra utan inblandning av ett »ogudaktigt» folk och framför allt utan inblandning av den ogudaktiga vetenskapen. Jo, kyrkomötet får lägga sig i dessa frågor, menar herr Bergqvist, denna kuriositet, såsom jag visst sade i fjol, i den svenska författningen, som heter kyrkomöte! Ja, det rymmer förvisso mycken och verklig sakkunskap, men det saknar ju tid att behandla någonting sakkunnigt. Men, herr Bergqvist, vi få väl enas om den linjen, att vi skola ha en kyrka, som själv, d. v. s. genom biskopar och präster, sköter alla sina »interna» angelägenheter och inte frågar efter någonting, som heter t. ex. lekmän, annat än vid vissa högtidliga tillfällen. Och så skilja vi kyrkan från staten — det finns nog ingen annan rimlig och riktig väg!</w:t>
      </w:r>
    </w:p>
    <w:p>
      <w:pPr>
        <w:pStyle w:val="Heading2"/>
      </w:pPr>
      <w:r>
        <w:t>2. Rickard Lindström (Socialdemokraterna, man)</w:t>
      </w:r>
    </w:p>
    <w:p>
      <w:r>
        <w:rPr>
          <w:b w:val="0"/>
        </w:rPr>
        <w:t>Förra året var jag en av de två undertecknarna av en motion utav ungefär samma innehåll som den nu föreliggande. I år saknas mitt namn under motionen. Att jag icke ville vara med i år, berodde därpå, att jag hyste samma uppfattning som den herr Härdin nyss här i debatten givit uttryck åt, nämligen att då ärkebiskopens förslag till revision av den svenska kyrkohandboken kunde förväntas inom kort tid, vore det kanske bäst att vänta, till dess vi fingo detta förslag i våra händer. Nu ha vi det här.</w:t>
        <w:br/>
        <w:br/>
        <w:t>Jag måste säga, att sedan jag med mycket stort intresse läst igenom det ifrågavarande förslaget, kan jag inte finna annat än att motionärerna och reservanterna i utskottet ha lika stor rätt att besvära första kammaren i år som de hade i fjol. Det finns också en alldeles speciell anledning därtill; herr Sandegård har nyss berört den. Det kan nämligen antagas, att sedan remisstiden är utgången och domkapitel och andra högvördiga institutioner ha malt igenom förslaget, får ett kyrkomöte frågan till behandling, ett kyrkomöte som samlas, innan riksdagen på nytt hinner sammanträda. Detta kyrkomöte avgör frågan fullt suveränt enligt den rätt, som grundlagen ger det. Men vad är kyrkomötet? Finns det någon i denna församling, som vågar uppstå och säga, att kyrkomötet på något sätt representerar det svenska folket? Jag behöver inte utreda de grunder, som detta mitt uttalande vilar på. Dem känner var och en av kammarens ledamöter till. Jag tror, att man kan säga, att denna kammare och medkammaren bättre och mera auktoritativt representera folkets mening även 1 dessa frågor än kyrkomötet. Därför anser jag, att det vore angeläget, att vi begagnade det tillfälle, som motionärerna nu ha givit oss, att åtminstone i någon mån giva vår opinion tillkänna.</w:t>
        <w:br/>
        <w:br/>
        <w:t>När vi läsa igenom det eidemska förslaget, måste vi säga, att det i många avseenden utgör ett framsteg. Det utgör till den grad ett framsteg, att jag skulle vilja se ner till botten av samvetet hos min vän, den ärade talaren på Bohuslänsbänken, sedan han har läst igenom detta förslag.</w:t>
        <w:br/>
        <w:br/>
        <w:t xml:space="preserve">Jag skall ta några exempel. I förslaget finns det en ny redigering av den gamla syndabekännelsen. Syndabekännelsen, herr talman, var allas vår formella bekännelse till att vi voro behäftade med arvsynd. Nu är arvsynden borttrollad. I den gamla syndabekännelsen stod det, och det står där för övrigt ännu, ty ingenting har blivit förändrat: »Jag fattig, syndig människa, som med synd född...» Arvsyndsbegreppet är klart och tydligt nedlagt i dessa ord. I nya redigeringen står det: »Jag fattig, syndig människa, av syndigt släkte född...» Detta har en helt annan innebörd. Jag tror, att vi alla medge, vilken ställning vi än ha till de religiösa problemen, att vi äro födda av ett fördömt syndigt släkte. Men i denna bekännelse ingår icke något accepterande av den gamla arvsyndsläran. Vi komma fram till jordfästningsritualet. Där har ärkebiskopen underligt nog tagit upp alternativ — alternativ, som man här är så rädd för! — alternativ, som, när det gäller själva de avgörande orden, i två fall utesluta bekännelsen till den kroppsliga uppståndelsen, vilken min ärade vän på Bohuslänsbänken nyss har slagit vakt om som en klenod i hela kyrkans lära och i all vår religiösa uppfattning. Det finns ett tredje exempel, som jag skall åberopa, ett exempel som, därest kännedomen om det blir utbredd på västkusten, kanske kommer att väcka en del kusliga känslor. Det rör den så kallade kyrkotagningen. Det gamla kyrkotagningsritualet har blivit borttaget även i den bemärkelsen, att man inte längre nämner ordet kyrkotagning. Man kallar det nu »En moders tacksägelse». Det innebär en bön av prästen, i vilken han frambär </w:t>
      </w:r>
      <w:r>
        <w:rPr>
          <w:b/>
        </w:rPr>
        <w:t>moderns²</w:t>
      </w:r>
      <w:r>
        <w:rPr>
          <w:b w:val="0"/>
        </w:rPr>
        <w:t xml:space="preserve"> tack till de högre makterna för att </w:t>
      </w:r>
      <w:r>
        <w:rPr>
          <w:b/>
        </w:rPr>
        <w:t>hon²</w:t>
      </w:r>
      <w:r>
        <w:rPr>
          <w:b w:val="0"/>
        </w:rPr>
        <w:t xml:space="preserve"> under lyckliga omständigheter har fått föda ett barn. All den gamla magin, som finnes i det äldre kyrkotagningsritualet, är borta. Nu får man någonting, som är riktigt hyggligt och fint, och som man</w:t>
        <w:br/>
        <w:br/>
        <w:t>Nåväl, herr Gustavson, nu har det här gjorts förändringar, som, om de rätt uppfattas, utgöra mycket djupa ingrepp på en del punkter mot de gamla slentrianmässiga föreställningarna inom vår kyrkolära. Men när herr Gustavson ser detta, hur finns det då någon möjlighet för herr Gustavson att upprätthålla den ståndpunkt, som han här förfäktat, att på detta område kunna inga förändringar vara tillåtliga? Vi, som följt med på detta område, ha ju kunnat konstatera oupphörliga förändringar, och jag vill säga, att den kyrka, den andliga verklighet överhuvud taget, som icke kan förändra sig och ansluta sig till den allmänna andliga utveckling, som dock mänskligheten alltid genomgår, den är slagen till slant, för att inte säga: den är dömd att döden dö.</w:t>
        <w:br/>
        <w:br/>
        <w:t>Biskop Bergqvist framhöll också en del synpunkter, som det skulle kunna vara intressant att gå in på. Jag skall bara taga upp en enda. Han syntes mig representera den gestalt, som är oss alla bekant ifrån Goethes Faust, gestalten som deklamerade:</w:t>
        <w:br/>
        <w:br/>
        <w:t>Tvenne själar, ack, bo i detta bröst och vilja skilda banor vandra.</w:t>
        <w:br/>
        <w:br/>
        <w:t>Den högt värderade och aktade kammarledamoten på den allra nordligaste bänken framhöll den synpunkten, att för det första var det alldeles nödvändigt att här ha någon form, som verkade därhän, att inte allt råkade ut i en hopplös anarki. Det var, om jag får uttrycka mig på det sättet, disciplinsynpunkten eller auktoritetssynpunkten som framträdde i hans anförande. Men å andra sidan sade han, att det också var angeläget att hävda friheten, och friheten kan hävdas av prästen under gudstjänsten, framför allt i predikan. Det var det andra skälet. Nu vill jag fråga min vördade vän, om han vill gå så långt, när det gäller att draga konsekvenserna av detta yttrande om friheten, att han anser det möjligt, att en präst, som gjort våld på sitt samvete då det gällt att läsa upp ritualens föreskrivna ord, då han sedan kommer upp i predikstolen och skall utöva sin andliga frihet, skall kunna säga saker, som — jag vill inte taga ett ytterligt exempel — även om de inte strida emot vad han har läst upp, dock i grund och botten ha en helt annan innebörd än vad som står på kyrkohandbokens blad. Det blir en kollision mellan frihet och auktoritet, som i många prästsjälar måste framkalla en ganska spännande situation! Om jag vore kyrkoherde i den svenska kyrkan — herrarna veta, att jag endast är en förbjuden lekmannapredikant! — skulle jag för min del ha mycket svårt att klara den kollision, som komme att uppstå på grund av sådana omständigheter.</w:t>
        <w:br/>
        <w:br/>
        <w:t>Beträffande herr John Gustavsons yttrande vill jag peka på en annan sak, en sak, som kanske är rätt personlig. Han ältade här — förlåt det något vulgära uttrycket! — för jag vet inte vilken gång i ordningen detta påstående, att en präst i den svenska kyrkan, numera kyrkoherde inom Västerås stift, skulle ha sagt, att han har kastat loss från tron på en personlig Gud i ett sammanhang, där även min ringa personlighet figurerade. Jag vill säga, att de, som använt detta uttryck och använda det ännu och upprepa det till raseri, de ha om de inte medvetet vilja förfalska vad en medmänniska sagt — och det vill jag tro, att de inte önska — inte brytt sig om att ta reda på vad</w:t>
        <w:br/>
        <w:br/>
        <w:t>Och här komma vi in på spörsmål med oändligt vida perspektiv. Herr John Gustavson angrep den prästman, som jag nu har talat om. Varför angriper han inte biskopen i Karlstad, Arvid Runestam, som i de av herr Sandegård citerade artiklarna i »Vår lösen» tydligt och klart har sagt ifrån, att frågan om Kristi gudom för honom inte har någon väsentlig betydelse, d. v. s. understrukit, att för hans religiösa uppfattning, och när det gäller hans bedömning av andra människors religiösa uppfattning, är det ganska oväsentligt, om människorna tro, att Kristus var gud, eller om de tro, att han var en fullkomlig människa? Om man har gått så långt, då har man också logiskt brutit sönder hela treenighetsbegreppet. Man har ställt frågan om den personlige Guden på en delvis ny grund. Men delar man biskop Runestams uppfattning, så frikänner man inte endast kyrkoherde Frödin, utan man frikänner också kyrkoherde Bruhn i Skepparslöv, vars stora brott var, att han för sin personliga del förklarade sig icke kunna acceptera tron på en treenig Gud. Vill man alltså taga upp dessa frågor och gå in på realiteterna, vill man försöka göra sig en sann bild av läget i svenska kyrkan, så skall man nödgas medgiva, att det inte bara är ett antagande utan att det finnes fog för påståendet, att de flesta medlemmarna av den svenska kyrkan ställa krav på förändringar.</w:t>
        <w:br/>
        <w:br/>
        <w:t>När jag hörde min ärade vän på Bohuslänsbänken tala om sin uppfattning om det andliga livet, så hade jag en känsla av, att det finns i alla fall en mycket stor dövhet på vissa håll för det, som rör sig i tiden, ja, inte bara dövhet, herr talman, utan förvisso även blindhet. När herr Gustavson här försökte övertyga oss om, att de andliga storheterna hade ett oföränderligt värde, då tänkte jag på några satser, som jag i min mycket tidiga ungdom läste i en bok av Maurice Maeterlinck, några satser, som gjorde ett mycket starkt intryck på mig. Jag kan inte citera dem ordagrant, men innehållet var ungefär detta: Det, som för ett ojämförligt geni som William Shakespeare var en stor och ny upptäckt i andlig bemärkelse, det möter jag nu hos varje enkel bonde och arbetare, när Jag går ut och talar vid dem. Det, som var obekanta andliga storheter för tre eller fyra hundra år sedan, och som kanske mötte mycket stark opposition, det är nu dagens verklighet och sanning även för den enklaste människa. Detta gäller även det religiösa livet, och skola vi icke — jag har redan sagt det, men jag vill betona det ännu en gång — medverka till undergången för de religiösa institutionerna — de religiösa värdena kan ingen döda, de äro evigt förbundna med människosjälen själv — då måste vi ta hänsyn till den realitet, som uppenbarar sig däri, att de andliga värdena födas, växa under skiftande förhållanden och framträda från olika synpunkter och aspekter under olika tider. Det är mycket viktigt att hålla fast vid detta, när man diskuterar om de problem, som nu ligga framför oss.</w:t>
        <w:br/>
        <w:br/>
        <w:t>Det skulle, herr talman, vara oändligt mycket att säga om dessa viktiga frågor. Jag vill inte uppta tiden längre. Jag måste säga, utan att närmare gå in på saken, att det kanske finnes en del uttalanden både i reservanternas motivering och klämmar, som jag skulle ha lust att Justera, men det har jag inte möjlighet att göra. Då jag emellertid anser, att reservanternas yrkande ligger närmast vad man i detta sammanhang har anledning att önska realiserat, skall Jag be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