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2169</w:t>
      </w:r>
    </w:p>
    <w:p>
      <w:r>
        <w:rPr>
          <w:b/>
        </w:rPr>
        <w:t xml:space="preserve">Datum: </w:t>
      </w:r>
      <w:r>
        <w:t>1939-02-13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Otto Wallen (Centerpartiet, man)</w:t>
      </w:r>
    </w:p>
    <w:p>
      <w:r>
        <w:rPr>
          <w:b w:val="0"/>
        </w:rPr>
        <w:t xml:space="preserve">Herr talman! Jag greps i början av ren förtvivlan, när jag fick höra att </w:t>
      </w:r>
      <w:r>
        <w:rPr>
          <w:b/>
        </w:rPr>
        <w:t>fru²</w:t>
      </w:r>
      <w:r>
        <w:rPr>
          <w:b w:val="0"/>
        </w:rPr>
        <w:t xml:space="preserve"> Nordgren gick emot detta förslag, men det var bara 1 början, ty sedan ändrade </w:t>
      </w:r>
      <w:r>
        <w:rPr>
          <w:b/>
        </w:rPr>
        <w:t>hon²</w:t>
      </w:r>
      <w:r>
        <w:rPr>
          <w:b w:val="0"/>
        </w:rPr>
        <w:t xml:space="preserve"> sig ju och förklarade, att </w:t>
      </w:r>
      <w:r>
        <w:rPr>
          <w:b/>
        </w:rPr>
        <w:t>hon²</w:t>
      </w:r>
      <w:r>
        <w:rPr>
          <w:b w:val="0"/>
        </w:rPr>
        <w:t xml:space="preserve"> i socialvårdskommitten skulle ställa sig sympatisk till frågan. Då jag också råkar tillhöra denna kommitté, försäkrar jag, att även jag skall göra det, men det är ingen anledning, varför man av rent formalistiska skäl skall skjuta på frågan. Om vi båda äro överens — och jag hoppas alla andra här i kammaren ha samma inställning — borde det åtminstone gå att få en stark minoritet för en lösning på den linjen. Men om vi äro på det klara med att vi vilja gå den linjen och äro överens därom, varför skola vi då yrka avslag?</w:t>
        <w:br/>
        <w:br/>
        <w:t>Kammaren har vid vissa tillfällen visat gott hjärta, då det gällt större belopp och då det gällt frågor, som icke berört oss så direkt som denna. Här gäller det ju svenska medborgare i värsta armod — till den kategorien måste väl ändå de blinda räknas. Skulle vi icke då kunna vara överens om att med varm hand och på rak arm rösta för detta, så mycket mer som en utredning icke kan ha något att tillägga i sak. En utredning skulle endast gå ut på ett konstaterande av antalet av dem, som skola erhålla ersättning, ingenting annat. Här gäller det endast att skipa rättvisa åt de gamla, som efter 60 år blivit blinda. Jag tycker icke att det vore den svenska riksdagen värdigt att av formalistiska grunder avböja förslaget.</w:t>
        <w:br/>
        <w:br/>
        <w:t>Jag vidhåller mitt yrkande, herr talman!</w:t>
      </w:r>
    </w:p>
    <w:p>
      <w:pPr>
        <w:pStyle w:val="Heading2"/>
      </w:pPr>
      <w:r>
        <w:t>2. Emil Olovson (Socialdemokraterna, man)</w:t>
      </w:r>
    </w:p>
    <w:p>
      <w:r>
        <w:rPr>
          <w:b w:val="0"/>
        </w:rPr>
        <w:t>Herrar Nordström i Kramfors och Wallén behöva icke så energiskt söka övertyga oss i utskottet om behovet av att förbättra de blindas ställning. Jag kan på rak arm åtaga mig att motivera det behovet, lika bra, kanske bättre, än herrar Nordström i Kramfors och Wallén. Det är ju heller icke om de blindas behov, som tvisten här rör sig, utan det är fråga om på vilket sätt man skall gå fram. Vidare är det fråga om, huruvida man icke bör taga vederbörlig hänsyn jämväl till andra medborgare, som befinna sig i samma hjälplösa läge som de blinda.</w:t>
        <w:br/>
        <w:br/>
        <w:t>Motionären har framfört den meningen, att blindhetsersättning bör utgå även till vad han kallar halvblinda. Nu går ju gränsen, där ledsynen slutar och den fullständiga blindheten tar vid. Blindhetsersättningen har ju utgått såsom ett hjälplöshetsbidrag till dessa arma människor, som icke kunna reda sig själva. Nu menar motionären, att man skulle utsträcka blindhetsersättningen, så att den skulle utgå även till halvblinda, och vidare yvrkar han, att de, som bli blinda efter 60 år, också skulle komma i åtnjutande av blindhetsersättning.</w:t>
        <w:br/>
        <w:br/>
        <w:t>För min del har jag ingenting att erinra mot, om man försöker komma fram till en sådan ordning, men som saken nu ligger till, måste vi göra klart för oss vad som skulle kunna inträffa, om vi gå den väg som föreslagits i motionen. Låt oss säga, att vi ha två personer i lägsta dyrortsgrupp, i gruppen 1. Den blinde och, enligt herr Nordströms i Kramfors mening, även den halvblinde, skulle då få 500 kronor. Det är icke för mycket enligt min mening, det är för litet. Men den som sitter lam och icke kan röra vare sig hand eller fot, han skall alltjämt få nöja sig med de 250 kronorna i pensionstillägg. Det är denna olikhet i behandlingen av de hjälplösa, som Jag för min del icke har kunnat vara med om. Däremot skall jag, när saken är utredd, vara med bland dem som vilja gå längst för att hjälpa alla de hjälplösa.</w:t>
        <w:br/>
        <w:br/>
        <w:t>Nu ligger det ju till så, att riksdagen 1937 begärde en utredning. Denna utredning är verkställd av pensionsstyrelsen och framlades någon gång i december månad förra året. Vidare har socialvårdskommittén fått i uppdrag att företaga en översyn av alla dessa sociallagstiftningsärenden, som syfta till stöd åt de behövande. Då förefaller det mig vara fullkomligt oriktigt att vi föregripa hela denna utredning genom att nu på rak arm besluta en höjning på en punkt, varigenom behandlingen av andra hjälplösa skulle komma att framstå såsom så mycket mera hårdhjärtad.</w:t>
        <w:br/>
        <w:br/>
        <w:t>Till detta vill jag endast lägga, att motionären icke har framställt något yrkande i motionen, som överhuvud taget kan ställas under proposition. Han har framlagt ett förslag till lagändring inför kammaren, men endast han</w:t>
        <w:br/>
        <w:br/>
        <w:t>Ang. viss ändring i grunderna för erhållande av blindhetsersättning. (Forts.) själv och högst få av kammarens ledamöter ha tagit närmare del av förslaget. Jag måste fråga mig: är andra kammaren beredd att på detta lättvindiga sätt företaga en lagändring? Jag hemställer, herr talman, om bifall till utskottets hemställan.</w:t>
      </w:r>
    </w:p>
    <w:p>
      <w:pPr>
        <w:pStyle w:val="Heading2"/>
      </w:pPr>
      <w:r>
        <w:t>3. Axel Nordström (Vänsterpartiet, man)</w:t>
      </w:r>
    </w:p>
    <w:p>
      <w:r>
        <w:rPr>
          <w:b w:val="0"/>
        </w:rPr>
        <w:t>Herr Olovson i Västerås får ursäkta om det finnes andra än han och hans parti — om han nu talade å partiets vägnar också — som ha känsla för de blinda och som veta hur stark motiveringen är för de förslag, jag framlagt i motionen. För mitt eget vidkommande förmenar jag RN ha rätt att hävda den uppfattningen, att de blinda redan nu borde kunna</w:t>
        <w:br/>
        <w:br/>
        <w:t>Herr Olovson i Västerås har heller inte på något sätt i sak kunnat bemöta mitt yrkande. När man icke har sakskäl, kryper man bakom formaliteter. När man vill stjälpa ett förslag, mot vilket man icke kan göra särskilda anmärkningar, kryper man bakom en formalitet, som i detta fall, att riksdagen icke är beredd att taga ställning till förslaget till lagändring, som innebär att mom. d) i 2 $ i ifrågavarande lag skulle utgå. Jag tror icke att Sveriges riksdag skulle begå någon dödssynd, därest riksdagen utan vidare uteslöt denna punkt i den föreliggande lagen.</w:t>
        <w:br/>
        <w:br/>
        <w:t>Om herr Olovson i Västerås har en så djup känsla för nödvändigheten av en bättre hjälp till de blinda, som han säger sig ha, förstår jag icke, varför han ovillkorligen skall skjuta denna hjälp på framtiden med den motiveringen, att det finnes andra människor i samhället, som ha det ännu sämre ställt. Det hade varit mera på sin plats, om han i så fall väckt en motion i riksdagen om hjälp till sådana människor, som ha det sämre, såsom de lama, som han här har talat om. Jag är också överens med honom om nödvändigheten att de skola hjälpas och om samhällets skyldighet att hjälpa dem. Men jag kan icke anse det vara på sin plats, att man också i dag skall ta till sådana urgamla motiv för avslag som att det finnes människor, som ha det sämre eller lika dåligt ställt som de blinda, därför skall de blinda fortfarande ha det så dåligt ställt, som de ha.</w:t>
        <w:br/>
        <w:br/>
        <w:t xml:space="preserve">Herr talman! Jag kan icke finna att vad herr Olovson i Västerås och </w:t>
      </w:r>
      <w:r>
        <w:rPr>
          <w:b/>
        </w:rPr>
        <w:t>fru²</w:t>
      </w:r>
      <w:r>
        <w:rPr>
          <w:b w:val="0"/>
        </w:rPr>
        <w:t xml:space="preserve"> Nordgren anfört på något sätt i sak upphävt riktigheten av mitt yrkande. Jag ber därför att alltjämt få vidhålla detsamma.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2169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