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2170</w:t>
      </w:r>
    </w:p>
    <w:p>
      <w:r>
        <w:rPr>
          <w:b/>
        </w:rPr>
        <w:t xml:space="preserve">Datum: </w:t>
      </w:r>
      <w:r>
        <w:t>1939-02-18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Magnusson (Högerns riksdagsgrupp, man)</w:t>
      </w:r>
    </w:p>
    <w:p>
      <w:r>
        <w:rPr>
          <w:b w:val="0"/>
        </w:rPr>
        <w:t>Herr talman! Då jag tillfälligtvis var borta från debatten, lär herr Flyg ha riktat ett angrepp mot mig. Enligt den redogörelse, som jag har fått, har han sagt, att anledningen till att jag inte ville vara med om att utbilda judar till jordbrukare vore, att jag inte vore främmande för det judehat, som man känner i vissa andra länder. Jag ber att få säga herr Flyg, att jag är fullständigt fri från allt vad Judehat heter, och jag skulle tro, att mitt första anförande inte vittnade om något sådant. Om den redogörelse jag fått är riktig, har herr Flyg — förlåt, jag har vänt mig till orätt adress, det var herr Kilbom; han är ju för övrigt närvarande här och har alltså tillfälle att korrigera redogörelsen — har herr Kilbom alltså tillagt, att man skulle minnas detta. när det blev fråga om hjälp eller stöd åt jordbruket. Då herr Kilbom skakar avvärjande på huvudet beklagar jag, om den redogörelse som lämnats mig är felaktig, men i så fall har ju herr Kilbom tillfälle att under debattens fortgång göra rättelse.</w:t>
        <w:br/>
        <w:br/>
        <w:t xml:space="preserve">Jag skulle emellertid vilja tillägga en annan sak — det kan ju berättiga, att Jag tillåtit mig att begära ordet nu — i anledning av </w:t>
      </w:r>
      <w:r>
        <w:rPr>
          <w:b/>
        </w:rPr>
        <w:t>fröken²</w:t>
      </w:r>
      <w:r>
        <w:rPr>
          <w:b w:val="0"/>
        </w:rPr>
        <w:t xml:space="preserve"> Hesselgrens här nyss gjorda uttalande, som jag avlyssnade och kan direkt referera. </w:t>
      </w:r>
      <w:r>
        <w:rPr>
          <w:b/>
        </w:rPr>
        <w:t>Hon²</w:t>
      </w:r>
      <w:r>
        <w:rPr>
          <w:b w:val="0"/>
        </w:rPr>
        <w:t xml:space="preserve"> påpekade, att under tider av arbetslöshet här i landet förföllo många av de människor, som drabbades därav, och </w:t>
      </w:r>
      <w:r>
        <w:rPr>
          <w:b/>
        </w:rPr>
        <w:t>hon²</w:t>
      </w:r>
      <w:r>
        <w:rPr>
          <w:b w:val="0"/>
        </w:rPr>
        <w:t xml:space="preserve"> gjorde gällande, att anledningen härtill var, att de fingo gå utan arbete, och att samma risk nu förelåg för flyktingarna. Jag kan i viss mån instämma med </w:t>
      </w:r>
      <w:r>
        <w:rPr>
          <w:b/>
        </w:rPr>
        <w:t>fröken²</w:t>
      </w:r>
      <w:r>
        <w:rPr>
          <w:b w:val="0"/>
        </w:rPr>
        <w:t xml:space="preserve"> Hesselgren i det omdömet. Det förefaller mig emellertid, att man efter ett sådant konstaterande är nödsakad att gå litet längre och undersöka problemet närmare. Visserligen förhåller det sig så, att arbetstillgången på många områden för närvarande är god här i landet, men å andra sidan skymtar kanske inte så avlägset den möjligheten, att det vid en vikande konjunktur inte blir samma arbetstillgång inom vårt land. I så fall blir det fråga om att i första hand kunna bereda sysselsättning åt våra egna invånare. Då kan det hända, att en alltför generös flyktingspolitik visar sig vara ett misstag, som vi ha anledning att ångra.</w:t>
        <w:br/>
        <w:br/>
        <w:t>Jag har hört tillräckligt av debatten för att lägga märke till att det är så lätt och tacksamt att låta de känslor, som man beträffande denna fråga gärna skulle vilja låta vara bestämmande, nämligen de rent mänskliga känslorna, råda över ett mera kallt och sunt förstånd. Jag ifrågasätter dock, om inte detta är en fråga, där man måste ganska hårt lägga band på de rent mänskliga känslor, som man skulle vilja hysa för dessa olyckliga människor, som drivas ut ur andra länder, och säga sig, att vi måste i första hand sörja för att de, som bygga och bo inom vårt eget land, ha obeskurna tillfällen att försörja sig. Vi måste nog lyssna till dem som säga: Vi arbeta under mycket svåra förhållanden och kunna inte finna oss i den konkurrens, som kom-</w:t>
      </w:r>
    </w:p>
    <w:p>
      <w:pPr>
        <w:pStyle w:val="Heading2"/>
      </w:pPr>
      <w:r>
        <w:t>2. Gustaf Henning Andersson (–, man)</w:t>
      </w:r>
    </w:p>
    <w:p>
      <w:r>
        <w:rPr>
          <w:b w:val="0"/>
        </w:rPr>
        <w:t>Herr talman! Jag skulle kunna låta det misstag, som herr Svensson förmodligen alldeles frivilligt gjorde sig skyldig till, stå oemotsagt, ty i mitt förra anförande sökte jag gardera mig mot sådana misstag. Jag förklarade, för att mitt yttrande inte skulle vantolkas, att det inte låg någon bimening bakom, då jag erbjöd mig att ställa röster till förfogande för en human flyktingspolitik, därest inte koalitionspartierna kunde vinnas för en sådan. Det har herr Svensson försökt hänga upp en liten kvickhet på. Därmed provocerar han mig till att säga, att jag betraktar samverkan i dag mellan folkpartiet och regeringen som helt och hållet tillfällig. Bondeförbundet kan vara fullkomligt lugnt. Jag för min del finner det rätt naturligt i ett land med våra parlamentariska former, att det bakom besluten, änskönt vi ha en regeringskoalition, inte alltid behöver stå precis samma majoritet. Och för övrigt, herr Svensson: platserna i kanslihuset äro inte på något sätt i fara på grund av vad som händer här i dag.</w:t>
      </w:r>
    </w:p>
    <w:p>
      <w:pPr>
        <w:pStyle w:val="Heading2"/>
      </w:pPr>
      <w:r>
        <w:t>3. Birger Gezelius (Högerpartiet, man)</w:t>
      </w:r>
    </w:p>
    <w:p>
      <w:r>
        <w:rPr>
          <w:b w:val="0"/>
        </w:rPr>
        <w:t xml:space="preserve">Herr talman! </w:t>
      </w:r>
      <w:r>
        <w:rPr>
          <w:b/>
        </w:rPr>
        <w:t>Fröken²</w:t>
      </w:r>
      <w:r>
        <w:rPr>
          <w:b w:val="0"/>
        </w:rPr>
        <w:t xml:space="preserve"> Hesselgrens uppgift, att det skulle finnas cirka 3,000 flyktingar i vårt land, och att detta skulle visa, att vårt land inte varit tillmötesgående utan fört en restriktiv politik, ger mig anledning till ett enda påpekande, nämligen att det är alldeles påtagligt — vilket även debatten i dag ger belägg för — att den svenska riksdagen inte har underlag för att diskutera frågan om vår främlingspolitik.</w:t>
        <w:br/>
        <w:br/>
        <w:t>Då vi vid 1937 års riksdag behandlade förslaget till nu gällande utlänningslag, yrkade jag, att riksdagen skulle hos Kungl. Maj:t anhålla om utredning beträffande grunderna för en planmässig svensk politik beträffande folkutbytet med främmande länder. Andra kammaren avslog denna min framställning, och Kungl. Maj:t har sedan inte vidtagit annan åtgärd än att låta igångsätta en räkning av utlänningarna, vilken emellertid inte är klar i dag. Det är uppenbart, att resultatet av denna räkning kommer för sent för att vi nu skulle kunna bedöma föreliggande fråga.</w:t>
        <w:br/>
        <w:br/>
        <w:t>Bristen på utredning har dels föranlett, att ytterlighetsriktningarna kunnat ägna sig åt en dimbildning av granska stora dimensioner, dels även skapat en oerhörd oro hos den allmänna opinionen, vilket återspeglar sig i dagens debatt. Vidare ger den anledning till att regeringens ståndpunkt beträffande utlänningsfrågorna och vår invandringspolitik är synnerligen oklar för riksdagen.</w:t>
        <w:br/>
        <w:br/>
        <w:t>Ett annat resultat av att denna utlänningsräkning inte är färdig är, att när regeringen begär att få en halv miljon kronor till flyktingshjälp, så saknas varje utredning om behovet. Man kan inte ens fastställa, vilket antal det här är fråga om.</w:t>
        <w:br/>
        <w:br/>
        <w:t>Nu är emellertid läget, att det av humanitära skäl inte vore riktigt att av den anledningen vägra att bevilja det begärda anslaget och därmed uppskjuta att lämna en hjälp, som är en ordentlig hjälp endast om det är en snar hjälp.</w:t>
        <w:br/>
        <w:br/>
        <w:t>Även om man alltså kan vara på det klara med att hjälpen skall lämnas, måste man emellertid räkna med delade meningar beträffande användningen av hjälpen, då förutsättningarna, villkoren och formerna för hjälpen inte finnas klarlagda för riksdagen.</w:t>
        <w:br/>
        <w:br/>
        <w:t>Det finns en ytterlighetsriktning, som förmenar att den är mest human, och som talar mycket brett och ibland ganska hetsigt om flyktingarnas rätt och intressen. Denna meningsriktning framställer flyktingarna såsom bättre medborgare än svenskarna, och den har ingen tanke på eller ett ord för svenska rikets och svenska folkets intressen. Det finns en motsatt ytterlighetsriktning, som förmenar, att det inte finns möjlighet att bringa flyktingarna hjälp utan att träda svenska intressen för nära. Denna ytterlighetsriktning är lika felaktig som den förra. Sanningen ligger mitt emellan.</w:t>
        <w:br/>
        <w:br/>
        <w:t>Lika litet som man har rätt att förneka de humanitära synpunkterna, lika litet har svenska riksdagen rätt att vid bedömandet av denna fråga bortse från de intressen, arbetsmarknadspolitiska intressen m. fl., som beröra vår egen befolkning. Här gäller det inte frågan — hjälpa eller inte hjälpa — utan endast formerna för hjälpen. Det är därför alldeles omöjligt att förstå, att det skulle kunna vara vår uppgift att vid behandlingen av denna fråga hetsa upp oss till någon prosemitism eller antisemitism. Vår uppgift är väl snarare att bedöma denna humanitära fråga med lugn och eftertanke utan åsidosättande av vår uppgift att skydda vårt folks och vår svenska arbetsmarknads behöriga intressen.</w:t>
        <w:br/>
        <w:br/>
        <w:t>Det är, herr talman, anledningen till att jag biträder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