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841</w:t>
      </w:r>
    </w:p>
    <w:p>
      <w:r>
        <w:rPr>
          <w:b/>
        </w:rPr>
        <w:t xml:space="preserve">Datum: </w:t>
      </w:r>
      <w:r>
        <w:t>1939-04-26</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Olsson (Socialdemokraterna, man)</w:t>
      </w:r>
    </w:p>
    <w:p>
      <w:r>
        <w:rPr>
          <w:b w:val="0"/>
        </w:rPr>
        <w:t>Herr talman! Det kunde kanske anses onödigt, att någon av utskottets medlemmar begärde ordet, då intet särskilt yrkande har framställts. Jag har alls ingenting emot den vädjan, som här riktats till chefen för ecklesiastikdepartementet. Jag vill bara fästa uppmärksamheten på att skälet till utskottets avslagsyrkande huvudsakligen ligger i punkten om att de sakkunnigas förslag för närvarande är beroende på Kungl. Maj:ts prövning. Därför, herr talman, skall jag inskränka mig till att endast yrka bifall till utskottets hemställan.</w:t>
        <w:br/>
        <w:br/>
        <w:t xml:space="preserve">från och med den 1 januari 1939 under sin återstående livstid, så länge </w:t>
      </w:r>
      <w:r>
        <w:rPr>
          <w:b/>
        </w:rPr>
        <w:t>hon²</w:t>
      </w:r>
      <w:r>
        <w:rPr>
          <w:b w:val="0"/>
        </w:rPr>
        <w:br/>
        <w:br/>
        <w:t>bära en årlig pension av 444 kronor.</w:t>
      </w:r>
    </w:p>
    <w:p>
      <w:pPr>
        <w:pStyle w:val="Heading2"/>
      </w:pPr>
      <w:r>
        <w:t>2. Gustaf Ehrnberg (–, man)</w:t>
      </w:r>
    </w:p>
    <w:p>
      <w:r>
        <w:rPr>
          <w:b w:val="0"/>
        </w:rPr>
        <w:t xml:space="preserve">Herr talman! Den nu föredragna punkten i bankoutskottets utlåtande behandlar en fråga, som avser pension åt en </w:t>
      </w:r>
      <w:r>
        <w:rPr>
          <w:b/>
        </w:rPr>
        <w:t>änka²</w:t>
      </w:r>
      <w:r>
        <w:rPr>
          <w:b w:val="0"/>
        </w:rPr>
        <w:t xml:space="preserve"> efter en f. d. skollärare. Saken är i och för sig av så ringa ekonomisk innebörd, att någon meningsskiljaktighet säkert icke skulle gjort sig gällande i utskottet — och än mindre skulle jag tagit upp en debatt i frågan — om icke ur principiella enligt mitt förmenande betydelsefulla synpunkter ett bifall till utskottets tillstyrkande hemställan skulle vara betänkligt och även kunna medföra icke önskvärda konsekvenser.</w:t>
        <w:br/>
        <w:br/>
        <w:t xml:space="preserve">Frågan gäller, som jag redan nämnt, huruvida mot gällande pensionsbestämmelser pension bör beviljas åt </w:t>
      </w:r>
      <w:r>
        <w:rPr>
          <w:b/>
        </w:rPr>
        <w:t>änkan²</w:t>
      </w:r>
      <w:r>
        <w:rPr>
          <w:b w:val="0"/>
        </w:rPr>
        <w:t xml:space="preserve"> efter en folkskollärare, som först vid 68 års ålder ingått äktenskap. Den efterlevande </w:t>
      </w:r>
      <w:r>
        <w:rPr>
          <w:b/>
        </w:rPr>
        <w:t>änkan²</w:t>
      </w:r>
      <w:r>
        <w:rPr>
          <w:b w:val="0"/>
        </w:rPr>
        <w:t xml:space="preserve"> hade varit anställd som </w:t>
      </w:r>
      <w:r>
        <w:rPr>
          <w:b/>
        </w:rPr>
        <w:t>hushållerska³</w:t>
      </w:r>
      <w:r>
        <w:rPr>
          <w:b w:val="0"/>
        </w:rPr>
        <w:t xml:space="preserve"> hos folkskolläraren under en period av 30 år mot en årslön av 100 kronor. Denna fråga har flera gånger varit uppe till omprövning och bedömande. Redan året efter mannens död ingick </w:t>
      </w:r>
      <w:r>
        <w:rPr>
          <w:b/>
        </w:rPr>
        <w:t>änkan²</w:t>
      </w:r>
      <w:r>
        <w:rPr>
          <w:b w:val="0"/>
        </w:rPr>
        <w:t xml:space="preserve"> till pensionsanstalten med begäran att bli tillerkänd </w:t>
      </w:r>
      <w:r>
        <w:rPr>
          <w:b/>
        </w:rPr>
        <w:t>änkepension²</w:t>
      </w:r>
      <w:r>
        <w:rPr>
          <w:b w:val="0"/>
        </w:rPr>
        <w:t xml:space="preserve">, men anstalten lämnade framställningen utan bifall under hänvisning till innehållet i en paragraf i bestämmelserna, som stadgar, att äktenskap, som delägare i anstalten ingår efter det han fyllt 65 år, icke grundlägger rätt till pension. Året efter ingick </w:t>
      </w:r>
      <w:r>
        <w:rPr>
          <w:b/>
        </w:rPr>
        <w:t>änkan²</w:t>
      </w:r>
      <w:r>
        <w:rPr>
          <w:b w:val="0"/>
        </w:rPr>
        <w:t xml:space="preserve"> med framställning till Kungl. Maj:t om beredande av </w:t>
      </w:r>
      <w:r>
        <w:rPr>
          <w:b/>
        </w:rPr>
        <w:t>änkepension²</w:t>
      </w:r>
      <w:r>
        <w:rPr>
          <w:b w:val="0"/>
        </w:rPr>
        <w:t>, men Kungl. Maj:t fann denna framställning icke böra föranleda någon åtgärd, detta i enlighet med yttranden från såväl statens pensionsanstalt som också från statskontoret, som avstyrkt bifall till framställningen i fråga. Härav torde man med allt skäl kunna draga den slutsatsen, att Kungl. Maj:t icke funnit tillräckligt talande skäl för att gå emot de bestämmelser, som funnos — och finnas — i pensionsreglementet.</w:t>
        <w:br/>
        <w:br/>
        <w:t>Så kom denna fråga upp till behandling vid fjolårets riksdag efter motion av samma personer, vilka 1 år åter gjort denna framställning i 1 en motion, som är avfattad i åtminstone ungefär samma ordalag som i fjol. När frågan då behandlades i bankoutskottet, var man där ganska enstämmigt av den uppfattningen, att framställningen icke borde leda till någon åtgärd, och med endast två reservationer avstyrkte utskottet bifall till framställningen. När frågan 1 år förelåg till behandling i bankoutskottet, var stämningen inom utskottet en helt annan, och till ganska stor förvåning beslöt utskottet att tillstyrka samma framställning, som i fjol avstyrkts, ehuru icke några nya skäl framkommit, som mera skulle tala till förmån för framställningen än i fjol.</w:t>
        <w:br/>
        <w:br/>
        <w:t>Vi reservanter ha icke kunnat tillägna oss en sådan rörlighet i åsiktsbildning, att vi, sedan vi det ena året efter moget övervägande fattat ståndpunkt i en fråga, redan året därpå anse oss vara beredda att gå emot den mening vi året förut förfäktat. Enligt min mening kan det icke lända till någon vidare respekt för riksdagen, vare sig inåt eller utåt, om riksdagen det ena året avslår och det andra året är färdig att bevilja en likartad framställning.</w:t>
        <w:br/>
        <w:br/>
        <w:t>Slutligen vill jag tillåta mig, herr talman, att erinra om ett förhållande, som framgår av utskottsutlåtandet men som, såvitt jag minnes, icke har beaktats och knappast omnämnts i utskottet. Det är nämligen det förhållandet, att den</w:t>
        <w:br/>
        <w:br/>
        <w:t xml:space="preserve">ifrågavarande </w:t>
      </w:r>
      <w:r>
        <w:rPr>
          <w:b/>
        </w:rPr>
        <w:t>änkan²</w:t>
      </w:r>
      <w:r>
        <w:rPr>
          <w:b w:val="0"/>
        </w:rPr>
        <w:t xml:space="preserve"> på grund av sjukdom sedan den 18 februari 1938 — således i över ett år — har vårdats på vederbörande kommuns ålderdomshem.</w:t>
        <w:br/>
        <w:br/>
        <w:t xml:space="preserve">Enligt mitt förmenande har </w:t>
      </w:r>
      <w:r>
        <w:rPr>
          <w:b/>
        </w:rPr>
        <w:t>hon²</w:t>
      </w:r>
      <w:r>
        <w:rPr>
          <w:b w:val="0"/>
        </w:rPr>
        <w:t xml:space="preserve"> där åtnjutit en synnerligen god vård, och en bättre vård, än </w:t>
      </w:r>
      <w:r>
        <w:rPr>
          <w:b/>
        </w:rPr>
        <w:t>hon²</w:t>
      </w:r>
      <w:r>
        <w:rPr>
          <w:b w:val="0"/>
        </w:rPr>
        <w:t xml:space="preserve"> med hjälp av det föreslagna pensionsbeloppet skulle haft möjlighet att erhålla, om </w:t>
      </w:r>
      <w:r>
        <w:rPr>
          <w:b/>
        </w:rPr>
        <w:t>hon²</w:t>
      </w:r>
      <w:r>
        <w:rPr>
          <w:b w:val="0"/>
        </w:rPr>
        <w:t xml:space="preserve"> lämnats på egen hand. Emellertid bör man vid sådant förhållande äga rätt att åtminstone starkt dra i tvivelsmål, huruvida </w:t>
      </w:r>
      <w:r>
        <w:rPr>
          <w:b/>
        </w:rPr>
        <w:t>änkan²</w:t>
      </w:r>
      <w:r>
        <w:rPr>
          <w:b w:val="0"/>
        </w:rPr>
        <w:t>, om pension beviljas, personligen skulle få någon glädje eller välsignelse av det belopp, som skulle kunna tilläggas i pension, och om icke detta be-</w:t>
        <w:br/>
        <w:br/>
        <w:t>Med vad jag nu tillåtit mig anföra ber jag få yrka avslag på utskottets hemställan och bifall till den vid punkten fogade reservationen, d. v. s. avslag på motionen.</w:t>
      </w:r>
    </w:p>
    <w:p>
      <w:pPr>
        <w:pStyle w:val="Heading2"/>
      </w:pPr>
      <w:r>
        <w:t>3. Harald Åkerberg (Socialdemokraterna, man)</w:t>
      </w:r>
    </w:p>
    <w:p>
      <w:r>
        <w:rPr>
          <w:b w:val="0"/>
        </w:rPr>
        <w:t xml:space="preserve">Den föregående talaren uttryckte sin förvåning över att utskottet i år hade tillstyrkt denna motion, ehuru utskottet vid ett tidigare tillfälle hade avstyrkt samma yrkande. Ja, varje ledamot av utskottet får väl i detta avseende tala för sig själv, och jag kan givetvis inte tala för utskottets majoritet, därför att majoriteten i en sådan fråga, där man väger med guldvikt, varierar efter utskottets olika sammansättning, men även på grund av att starkare skäl kunna anföras för ett yrkande det ena året än det andra. Vad mig själv beträffar är jag icke antecknad såsom närvarande vid behandlingen av detta ärende, men jag har i alla fall varit med och behandlat motionen på ett förberedande stadium och då givit min anslutning till dess yrkande. Förra gången tillhörde jag också dem, som ansågo att denna </w:t>
      </w:r>
      <w:r>
        <w:rPr>
          <w:b/>
        </w:rPr>
        <w:t>änka²</w:t>
      </w:r>
      <w:r>
        <w:rPr>
          <w:b w:val="0"/>
        </w:rPr>
        <w:t xml:space="preserve"> borde ha pension, ehuru de formella bestämmelserna talade mot en sådan.</w:t>
        <w:br/>
        <w:br/>
        <w:t xml:space="preserve">Förhållandet är ju det, att denne folkskollärare Pettersson ingick äktenskap med </w:t>
      </w:r>
      <w:r>
        <w:rPr>
          <w:b/>
        </w:rPr>
        <w:t>kvinnan¹</w:t>
      </w:r>
      <w:r>
        <w:rPr>
          <w:b w:val="0"/>
        </w:rPr>
        <w:t xml:space="preserve"> i fråga sedan han själv inträtt i pensionsåldern. Hans förra </w:t>
      </w:r>
      <w:r>
        <w:rPr>
          <w:b/>
        </w:rPr>
        <w:t>hustru²</w:t>
      </w:r>
      <w:r>
        <w:rPr>
          <w:b w:val="0"/>
        </w:rPr>
        <w:t xml:space="preserve"> hade dött rätt långt dessförinnan, men denna </w:t>
      </w:r>
      <w:r>
        <w:rPr>
          <w:b/>
        </w:rPr>
        <w:t>kvinna¹</w:t>
      </w:r>
      <w:r>
        <w:rPr>
          <w:b w:val="0"/>
        </w:rPr>
        <w:t xml:space="preserve"> hade inte bara efter den förra </w:t>
      </w:r>
      <w:r>
        <w:rPr>
          <w:b/>
        </w:rPr>
        <w:t>hustruns²</w:t>
      </w:r>
      <w:r>
        <w:rPr>
          <w:b w:val="0"/>
        </w:rPr>
        <w:t xml:space="preserve"> död förestått hemmet och vårdat barnen, utan även förut, då den förra </w:t>
      </w:r>
      <w:r>
        <w:rPr>
          <w:b/>
        </w:rPr>
        <w:t>hustrun²</w:t>
      </w:r>
      <w:r>
        <w:rPr>
          <w:b w:val="0"/>
        </w:rPr>
        <w:t xml:space="preserve"> under många år var sjuk och inte var i stånd att sköta hemmet och barnen, fullgjort </w:t>
      </w:r>
      <w:r>
        <w:rPr>
          <w:b/>
        </w:rPr>
        <w:t>hennes²</w:t>
      </w:r>
      <w:r>
        <w:rPr>
          <w:b w:val="0"/>
        </w:rPr>
        <w:t xml:space="preserve"> skyldigheter i detta avseende. Efter den förra </w:t>
      </w:r>
      <w:r>
        <w:rPr>
          <w:b/>
        </w:rPr>
        <w:t>hustruns²</w:t>
      </w:r>
      <w:r>
        <w:rPr>
          <w:b w:val="0"/>
        </w:rPr>
        <w:t xml:space="preserve"> död har </w:t>
      </w:r>
      <w:r>
        <w:rPr>
          <w:b/>
        </w:rPr>
        <w:t>hon²</w:t>
      </w:r>
      <w:r>
        <w:rPr>
          <w:b w:val="0"/>
        </w:rPr>
        <w:t xml:space="preserve"> på ett mönstergillt sätt förestått hemmet och varit som en </w:t>
      </w:r>
      <w:r>
        <w:rPr>
          <w:b/>
        </w:rPr>
        <w:t>mor²</w:t>
      </w:r>
      <w:r>
        <w:rPr>
          <w:b w:val="0"/>
        </w:rPr>
        <w:t xml:space="preserve"> för barnen. När äktenskapet 1923 ingicks' var det inte, som det brukar kunna vara i sådana fall, någon, jag skulle vilja säga, manipulation för att </w:t>
      </w:r>
      <w:r>
        <w:rPr>
          <w:b/>
        </w:rPr>
        <w:t>änkan²</w:t>
      </w:r>
      <w:r>
        <w:rPr>
          <w:b w:val="0"/>
        </w:rPr>
        <w:t xml:space="preserve"> skulle komma i besittning av familjepension efter mannens död, utan det var endast en bekräftelse på ett förhållande som sedan länge hade ägt bestånd. </w:t>
      </w:r>
      <w:r>
        <w:rPr>
          <w:b/>
        </w:rPr>
        <w:t>Kvinnan¹</w:t>
      </w:r>
      <w:r>
        <w:rPr>
          <w:b w:val="0"/>
        </w:rPr>
        <w:t xml:space="preserve"> hade varit den verkliga husmodern, och vid sådant förhållande har jag för min del, liksom bankoutskottets majoritet, ansett starka skäl tala för att bevilja </w:t>
      </w:r>
      <w:r>
        <w:rPr>
          <w:b/>
        </w:rPr>
        <w:t>henne²</w:t>
      </w:r>
      <w:r>
        <w:rPr>
          <w:b w:val="0"/>
        </w:rPr>
        <w:t xml:space="preserve"> pension.</w:t>
        <w:br/>
        <w:br/>
        <w:t xml:space="preserve">Herr Ehrnberg har påpekat att </w:t>
      </w:r>
      <w:r>
        <w:rPr>
          <w:b/>
        </w:rPr>
        <w:t>änkefru²</w:t>
      </w:r>
      <w:r>
        <w:rPr>
          <w:b w:val="0"/>
        </w:rPr>
        <w:t xml:space="preserve"> Pettersson, enligt vad som meddelas i utskottsutlåtandet, vårdas på ett ålderdomshem och alltså har sin bärgning där. Enligt vad jag har inhämtat beror detta på, att </w:t>
      </w:r>
      <w:r>
        <w:rPr>
          <w:b/>
        </w:rPr>
        <w:t>hon²</w:t>
      </w:r>
      <w:r>
        <w:rPr>
          <w:b w:val="0"/>
        </w:rPr>
        <w:t xml:space="preserve"> var sjuk vid det tillfälle då </w:t>
      </w:r>
      <w:r>
        <w:rPr>
          <w:b/>
        </w:rPr>
        <w:t>hon²</w:t>
      </w:r>
      <w:r>
        <w:rPr>
          <w:b w:val="0"/>
        </w:rPr>
        <w:t xml:space="preserve"> togs in på ålderdomshemmet. </w:t>
      </w:r>
      <w:r>
        <w:rPr>
          <w:b/>
        </w:rPr>
        <w:t>Hon²</w:t>
      </w:r>
      <w:r>
        <w:rPr>
          <w:b w:val="0"/>
        </w:rPr>
        <w:t xml:space="preserve"> har ju för närvarande ingen annan inkomst än sin folkpension. Denna kan </w:t>
      </w:r>
      <w:r>
        <w:rPr>
          <w:b/>
        </w:rPr>
        <w:t>hon²</w:t>
      </w:r>
      <w:r>
        <w:rPr>
          <w:b w:val="0"/>
        </w:rPr>
        <w:t xml:space="preserve"> något så när dra sig fram på, så länge </w:t>
      </w:r>
      <w:r>
        <w:rPr>
          <w:b/>
        </w:rPr>
        <w:t>hon²</w:t>
      </w:r>
      <w:r>
        <w:rPr>
          <w:b w:val="0"/>
        </w:rPr>
        <w:t xml:space="preserve"> har hälsan, men då </w:t>
      </w:r>
      <w:r>
        <w:rPr>
          <w:b/>
        </w:rPr>
        <w:t>hon²</w:t>
      </w:r>
      <w:r>
        <w:rPr>
          <w:b w:val="0"/>
        </w:rPr>
        <w:t xml:space="preserve"> blev sjuk, räckte inte den blygsamma inkomsten att skaffa </w:t>
      </w:r>
      <w:r>
        <w:rPr>
          <w:b/>
        </w:rPr>
        <w:t>henne²</w:t>
      </w:r>
      <w:r>
        <w:rPr>
          <w:b w:val="0"/>
        </w:rPr>
        <w:t xml:space="preserve"> den vård </w:t>
      </w:r>
      <w:r>
        <w:rPr>
          <w:b/>
        </w:rPr>
        <w:t>hon²</w:t>
      </w:r>
      <w:r>
        <w:rPr>
          <w:b w:val="0"/>
        </w:rPr>
        <w:t xml:space="preserve"> behövde. </w:t>
      </w:r>
      <w:r>
        <w:rPr>
          <w:b/>
        </w:rPr>
        <w:t>Hon²</w:t>
      </w:r>
      <w:r>
        <w:rPr>
          <w:b w:val="0"/>
        </w:rPr>
        <w:t xml:space="preserve"> blev därför intagen på ålderdomshemmet. Men det är inte meningen att </w:t>
      </w:r>
      <w:r>
        <w:rPr>
          <w:b/>
        </w:rPr>
        <w:t>hon²</w:t>
      </w:r>
      <w:r>
        <w:rPr>
          <w:b w:val="0"/>
        </w:rPr>
        <w:t xml:space="preserve"> skall stanna där, utan efter sitt tillfrisknande, som redan lär vara ett faktum, kommer </w:t>
      </w:r>
      <w:r>
        <w:rPr>
          <w:b/>
        </w:rPr>
        <w:t>hon²</w:t>
      </w:r>
      <w:r>
        <w:rPr>
          <w:b w:val="0"/>
        </w:rPr>
        <w:t xml:space="preserve"> att återta sin självständiga tillvaro. Detta förhållande tycker jag alltså inte behöver tala emot pensionens beviljande.</w:t>
        <w:br/>
        <w:br/>
        <w:t>Jag ber, herr talman, att få yrka bifall till utskottets hemställan.</w:t>
      </w:r>
    </w:p>
    <w:p>
      <w:pPr>
        <w:pStyle w:val="Heading2"/>
      </w:pPr>
      <w:r>
        <w:t>4. Theodor Nilsson (Socialdemokraterna, man)</w:t>
      </w:r>
    </w:p>
    <w:p>
      <w:r>
        <w:rPr>
          <w:b w:val="0"/>
        </w:rPr>
        <w:t>Herr talman! Då jag i år begär ordet i denna fråga, gör jag det under andra förhållanden än då frågan förra gången var före. Det torde vara tämligen allmänt bekant, att riksdagen förra året av formella skäl inte kom åt att allsidigt behandla detta spörsmål. Jag skall inte här relatera förloppet, men då det kan synas som om både utskottets majoritet och motionärerna skulle ha handskats litet ovarsamt med frågor av principiell karaktär, ber jag, herr talman, att få ta kammarens dyrbara tid en liten stund i anspråk.</w:t>
        <w:br/>
        <w:br/>
        <w:t xml:space="preserve">Det är två skäl som föranlett motionärerna att i år återkomma. Det första skälet är att man vid genomläsning av riksdagens handlingar finner hundratals fall, där personer ha vädjat till riksdagen att få tillgodogöra sig en rätt, som de rent formellt inte skulle ha, vilka fall blivit upptagna i motioner eller kungl. propositioner. Den nu avlidne folkskolläraren blev </w:t>
      </w:r>
      <w:r>
        <w:rPr>
          <w:b/>
        </w:rPr>
        <w:t>änkeman²</w:t>
      </w:r>
      <w:r>
        <w:rPr>
          <w:b w:val="0"/>
        </w:rPr>
        <w:t xml:space="preserve"> 1893 med fem minderåriga barn. Han anställde omedelbart vid </w:t>
      </w:r>
      <w:r>
        <w:rPr>
          <w:b/>
        </w:rPr>
        <w:t>hustruns²</w:t>
      </w:r>
      <w:r>
        <w:rPr>
          <w:b w:val="0"/>
        </w:rPr>
        <w:t xml:space="preserve"> dödsfall den </w:t>
      </w:r>
      <w:r>
        <w:rPr>
          <w:b/>
        </w:rPr>
        <w:t>kvinna¹</w:t>
      </w:r>
      <w:r>
        <w:rPr>
          <w:b w:val="0"/>
        </w:rPr>
        <w:t xml:space="preserve">, som det nu är fråga om att bevilja pension. </w:t>
      </w:r>
      <w:r>
        <w:rPr>
          <w:b/>
        </w:rPr>
        <w:t>Hon²</w:t>
      </w:r>
      <w:r>
        <w:rPr>
          <w:b w:val="0"/>
        </w:rPr>
        <w:t xml:space="preserve"> fick sköta hemmet och de fem minderåriga barnen på en folkskollärarlön, som på den tiden i allra lyckligaste fall uppgick till 1,000 kronor om året. Då det sista barnet lämnade hemmet 1923, ingick denne </w:t>
      </w:r>
      <w:r>
        <w:rPr>
          <w:b/>
        </w:rPr>
        <w:t>änkeman²</w:t>
      </w:r>
      <w:r>
        <w:rPr>
          <w:b w:val="0"/>
        </w:rPr>
        <w:t xml:space="preserve"> nytt äktenskap med sin </w:t>
      </w:r>
      <w:r>
        <w:rPr>
          <w:b/>
        </w:rPr>
        <w:t>hushållerska³</w:t>
      </w:r>
      <w:r>
        <w:rPr>
          <w:b w:val="0"/>
        </w:rPr>
        <w:t>, som tjänat honom troget i trettio år. När mannen avled 1934, hade makarna således varit gifta i elva år.</w:t>
        <w:br/>
        <w:br/>
        <w:t xml:space="preserve">När nu denna </w:t>
      </w:r>
      <w:r>
        <w:rPr>
          <w:b/>
        </w:rPr>
        <w:t>änka²</w:t>
      </w:r>
      <w:r>
        <w:rPr>
          <w:b w:val="0"/>
        </w:rPr>
        <w:t xml:space="preserve">, som reservanten påpekade, gjorde framställning hos pensionsstyrelsen om pension, kunde pensionsstyrelsen givetvis av formella skäl inte bifalla denna ansökan. Den stred mot bestämmelserna, då denne </w:t>
      </w:r>
      <w:r>
        <w:rPr>
          <w:b/>
        </w:rPr>
        <w:t>änkeman²</w:t>
      </w:r>
      <w:r>
        <w:rPr>
          <w:b w:val="0"/>
        </w:rPr>
        <w:t xml:space="preserve"> skulle ha ingått äktenskap med sin </w:t>
      </w:r>
      <w:r>
        <w:rPr>
          <w:b/>
        </w:rPr>
        <w:t>hushållerska³</w:t>
      </w:r>
      <w:r>
        <w:rPr>
          <w:b w:val="0"/>
        </w:rPr>
        <w:t xml:space="preserve"> tre år innan han i verkligheten gjorde det. Då ärendet sedermera kom till Kungl. Maj:t, befann sig Kungl. Maj:t i samma ställning: de formella bestämmelserna lade hinder 1 vägen för ett bifall. Då man emellertid ansåg att billighetsskäl talade för framställningen, fanns ingen annan väg att gå än genom riksdagen.</w:t>
        <w:br/>
        <w:br/>
        <w:t xml:space="preserve">Det var emellertid, som vännerna här i kammaren nogsamt känna till, inte uteslutande detta skäl som gjorde att vi i år återkommo, utan det var även ett formellt skäl. Förra årets motion var skriven så att intet belopp fixerades, utan det hemställdes att utskottet skulle fixera beloppet. Motionärerna föreslogo 444 kronor, men då jag hade ordet i kammaren, skickade herr talmannen bud, att detta yrkande inte kunde tagas under omprövning. Den ärade reservanten må alltså inte förvåna sig så mycket över att vi kommo igen i år. Om riksdagen i år skulle följa utskottet och fatta ett annat beslut än förra året, beror det uteslutande på att riksdagen förra året var förhindrad att ta positiv ställning till motionen. Att utskottet dessutom, som den ärade reservanten påpekar, har ändrat mening, beror på att verkligen något nytt framkommit, nämligen uppgift på den arrendesumma </w:t>
      </w:r>
      <w:r>
        <w:rPr>
          <w:b/>
        </w:rPr>
        <w:t>änkan²</w:t>
      </w:r>
      <w:r>
        <w:rPr>
          <w:b w:val="0"/>
        </w:rPr>
        <w:t xml:space="preserve"> uppbär för det jordbruk </w:t>
      </w:r>
      <w:r>
        <w:rPr>
          <w:b/>
        </w:rPr>
        <w:t>hon²</w:t>
      </w:r>
      <w:r>
        <w:rPr>
          <w:b w:val="0"/>
        </w:rPr>
        <w:t xml:space="preserve"> utarrenderar. Under sitt sista levnadsår köpte nämligen denne folkskollärare en jordbruksegendom. Han trodde väl inte att han skulle dö före sin gumma — därom visste han ju för övrigt ingenting — och han tänkte att han på gamla dar hjälpligt skulle kunna dra sig fram på sin lilla pension och på vad jordbruket gav. Så dog han, </w:t>
      </w:r>
      <w:r>
        <w:rPr>
          <w:b/>
        </w:rPr>
        <w:t>hustrun²</w:t>
      </w:r>
      <w:r>
        <w:rPr>
          <w:b w:val="0"/>
        </w:rPr>
        <w:t xml:space="preserve"> kunde inte sköta jordbruket utan måste utarrendera det. Jag saknade förlidet år uppgifter för att kunna besvara de frågor som ställdes till mig, om hur mycket </w:t>
      </w:r>
      <w:r>
        <w:rPr>
          <w:b/>
        </w:rPr>
        <w:t>hon²</w:t>
      </w:r>
      <w:r>
        <w:rPr>
          <w:b w:val="0"/>
        </w:rPr>
        <w:t xml:space="preserve"> hade i arrende för detta jordbruk. Det kanske var mycket, antyddes det från visst håll. Då utskottet inte kunde få dessa uppgifter, förstår man att utskottet var litet svävande på målet. I år föreligga sådana uppgifter. Det visar sig att </w:t>
      </w:r>
      <w:r>
        <w:rPr>
          <w:b/>
        </w:rPr>
        <w:t>hon²</w:t>
      </w:r>
      <w:r>
        <w:rPr>
          <w:b w:val="0"/>
        </w:rPr>
        <w:t xml:space="preserve"> har 100 kronor om året 1 arrende för sitt jordbruk plus 307 kronor 20 öre från den allmänna folkpensionen eller sammanlagt 407 kronor 20 öre.</w:t>
        <w:br/>
        <w:br/>
        <w:t>Nu är det tydligt, herr talman, att även ett så litet belopp som 444 kronor kan ge anledning till principiella betänkligheter med hänsyn till de konsekvenser ett beslut skulle ha. Ja, men liknande principiella synpunkter kan man lägga på alla frågor, där de formella bestämmelserna inte räcka till utan riksdagen får fatta särskilda beslut på grund av sådana framställningar som jag nyss nämnde. För en liten stund sedan beslöto vi att pensionera en f. d. högre tjänsteman. En framställning om pension åt honom behandlades 1934 men avstyrktes då av utskottet och avslogs av riksdagen. I år har &gt;tt enhälligt utskott och en enhällig riksdag beslutat att bifalla samma framställ-</w:t>
        <w:br/>
        <w:br/>
        <w:t xml:space="preserve">Ang. pension åt f. d. folkskolläraren P. A. Petterssons </w:t>
      </w:r>
      <w:r>
        <w:rPr>
          <w:b/>
        </w:rPr>
        <w:t>änka²</w:t>
      </w:r>
      <w:r>
        <w:rPr>
          <w:b w:val="0"/>
        </w:rPr>
        <w:t>. (Forts.) ning. Jag ser inte något orätt eller oriktigt däri, herr talman. Jag har själv suttit med i utskottet vid detta ärendes behandling. Men jag anser, att även om människor förgå sig här i livet, skola vi andra icke hata utan någon gång försöka glömma och ge den tröst och den lilla hjälp i ekonomiskt avseende som kan behövas. Pensionen för den man det gällde var 4 008 kronor — här gäller det 444 kronor. Billighetsskäl ha talat i ett tjugutal fall som bankoutskottet har gått med på. Jag åberopar billighetsskäl även i detta.</w:t>
        <w:br/>
        <w:br/>
        <w:t xml:space="preserve">Jag kanske tröttar kammaren, men jag kan inte hjälpa att jag måste påpeka ännu en sak. Det var elva år sedan riksdagen behandlade en framställning som var någorlunda analog med denna. Det gällde då en linjeförman vid telegrafverket, som ingick äktenskap några år efter det han hade uppnått pensionsåldern. Den gången — det var 1928 — lät riksdagen på bankoutskottets förslag billighetsskäl och behjärtansvärda synpunkter tala och beviljade ett bidrag med samma belopp som i detta ärende föreslås. Under de sex år jag varit med i utskottet har, herr talman, mina herrar, ingen framställning gjorts av samma slag som framställningen angående linjeförmannens </w:t>
      </w:r>
      <w:r>
        <w:rPr>
          <w:b/>
        </w:rPr>
        <w:t>änka²</w:t>
      </w:r>
      <w:r>
        <w:rPr>
          <w:b w:val="0"/>
        </w:rPr>
        <w:t>. Jag är den förste som tar upp en sådan. Äro inte konsekvenserna farligare än de nu se ut att arta sig till, tycker jag det är en billig fordran.</w:t>
        <w:br/>
        <w:br/>
        <w:t xml:space="preserve">Denna </w:t>
      </w:r>
      <w:r>
        <w:rPr>
          <w:b/>
        </w:rPr>
        <w:t>änka²</w:t>
      </w:r>
      <w:r>
        <w:rPr>
          <w:b w:val="0"/>
        </w:rPr>
        <w:t xml:space="preserve"> vistas nu på ett försörjningshem, och den ärade reservanten säger att </w:t>
      </w:r>
      <w:r>
        <w:rPr>
          <w:b/>
        </w:rPr>
        <w:t>hon²</w:t>
      </w:r>
      <w:r>
        <w:rPr>
          <w:b w:val="0"/>
        </w:rPr>
        <w:t xml:space="preserve"> där säkerligen får bra vård. Ja det får man nu för tiden på alla ålderdomshem med endast få undantag, dess bättre, dess bättre. Men det finns hos denna gamla en tillgång, ett värde, som vi icke skola försumma att tillvarata. Dessa gamla ha en strävan, vars betydelse man aldrig bör underskatta, nämligen att försöka stå på egna ben och att spänna de sista krafterna för att klara sig själva. Ifrågavarande </w:t>
      </w:r>
      <w:r>
        <w:rPr>
          <w:b/>
        </w:rPr>
        <w:t>änka²</w:t>
      </w:r>
      <w:r>
        <w:rPr>
          <w:b w:val="0"/>
        </w:rPr>
        <w:t xml:space="preserve"> har gjort det, så länge </w:t>
      </w:r>
      <w:r>
        <w:rPr>
          <w:b/>
        </w:rPr>
        <w:t>hon²</w:t>
      </w:r>
      <w:r>
        <w:rPr>
          <w:b w:val="0"/>
        </w:rPr>
        <w:t xml:space="preserve"> hade hälsan. När den svek, räckte inte 407 kronor 20 öre till </w:t>
      </w:r>
      <w:r>
        <w:rPr>
          <w:b/>
        </w:rPr>
        <w:t>hennes²</w:t>
      </w:r>
      <w:r>
        <w:rPr>
          <w:b w:val="0"/>
        </w:rPr>
        <w:t xml:space="preserve"> uppehälle och vård, och därför måste </w:t>
      </w:r>
      <w:r>
        <w:rPr>
          <w:b/>
        </w:rPr>
        <w:t>hon²</w:t>
      </w:r>
      <w:r>
        <w:rPr>
          <w:b w:val="0"/>
        </w:rPr>
        <w:t xml:space="preserve"> tagas in på försörjningshemmet. Om riksdagen bifaller den föreliggande framställningen, skulle det vara möjligt för </w:t>
      </w:r>
      <w:r>
        <w:rPr>
          <w:b/>
        </w:rPr>
        <w:t>henne²</w:t>
      </w:r>
      <w:r>
        <w:rPr>
          <w:b w:val="0"/>
        </w:rPr>
        <w:t xml:space="preserve"> att flytta tillbaka till sin lilla stuga. När jag var hemma under påskferierna, talade jag med en av </w:t>
      </w:r>
      <w:r>
        <w:rPr>
          <w:b/>
        </w:rPr>
        <w:t>hennes²</w:t>
      </w:r>
      <w:r>
        <w:rPr>
          <w:b w:val="0"/>
        </w:rPr>
        <w:t xml:space="preserve"> styvsöner, och han sade, att gumman nog kryat på sig igen. Något nödtvång att kvarhålla </w:t>
      </w:r>
      <w:r>
        <w:rPr>
          <w:b/>
        </w:rPr>
        <w:t>henne²</w:t>
      </w:r>
      <w:r>
        <w:rPr>
          <w:b w:val="0"/>
        </w:rPr>
        <w:t xml:space="preserve"> på ålderdomshemmet torde alltså inte längre föreligga. Får </w:t>
      </w:r>
      <w:r>
        <w:rPr>
          <w:b/>
        </w:rPr>
        <w:t>hon²</w:t>
      </w:r>
      <w:r>
        <w:rPr>
          <w:b w:val="0"/>
        </w:rPr>
        <w:t xml:space="preserve"> detta ekonomiska stöd av staten, kan </w:t>
      </w:r>
      <w:r>
        <w:rPr>
          <w:b/>
        </w:rPr>
        <w:t>hon²</w:t>
      </w:r>
      <w:r>
        <w:rPr>
          <w:b w:val="0"/>
        </w:rPr>
        <w:t xml:space="preserve"> säkert reda sig — man brukar hjälpa varandra på landet i fall som detta.</w:t>
        <w:br/>
        <w:br/>
        <w:t xml:space="preserve">Det är ännu en synpunkt jag vill framhålla, nämligen att människorna ute i bygderna säkerligen komma att få mycket svårt att inse det rättvisa i, att då en person har inbetalat sina pensionsavgifter och ingått nytt äktenskap med hänsyn till sina hemmavarande barn tre år efter uppnåendet av den i reglementet angivna åldern, detta formella skäl skulle hindra </w:t>
      </w:r>
      <w:r>
        <w:rPr>
          <w:b/>
        </w:rPr>
        <w:t>änkan²</w:t>
      </w:r>
      <w:r>
        <w:rPr>
          <w:b w:val="0"/>
        </w:rPr>
        <w:t xml:space="preserve"> från att utfå sin enligt deras mening fullt lagliga rätt.</w:t>
        <w:br/>
        <w:br/>
        <w:t xml:space="preserve">Maken har betalat in 1,329 kronor. Gumman är gammal — åttio år. Det är möjligt. att </w:t>
      </w:r>
      <w:r>
        <w:rPr>
          <w:b/>
        </w:rPr>
        <w:t>hon²</w:t>
      </w:r>
      <w:r>
        <w:rPr>
          <w:b w:val="0"/>
        </w:rPr>
        <w:t xml:space="preserve"> nu aldrig hinner uppbära någonting av den pension, som här föreslås. Då jag nu, herr talman, yrkar bifall till utskottets förslag, hemställer jag vördsamt till kammaren att ge gumman denna uppmuntran.</w:t>
      </w:r>
    </w:p>
    <w:p>
      <w:pPr>
        <w:pStyle w:val="Heading2"/>
      </w:pPr>
      <w:r>
        <w:t>5. Gustaf Ehrnberg (–, man)</w:t>
      </w:r>
    </w:p>
    <w:p>
      <w:r>
        <w:rPr>
          <w:b w:val="0"/>
        </w:rPr>
        <w:t>Med anledning av den siste ärade talarens såsom vi väl alla väntade oss varmhjärtade anförande tillåter jag mig endast att erinra om, att man i pensionsfrågor nog måste anlägga litet mer realistiska synpunkter än den ärade motionären gör. I varje fall bör man söka att inte alltför långt avlägsna sig från de pensionstekniska bevekelsegrunder, som motiverat reglementets utformning.</w:t>
        <w:br/>
        <w:br/>
        <w:t>Vad beträffar de paralleller, som den siste ärade talaren sökte draga upp till ett par andra i dag föreliggande pensionsfrågor, vill jag för min del med ganska stor bestämdhet påstå, att någon jämförelse därvidlag rätteligen icke kan komma i fråga. De två fall, som åsyftades, gällde ju f. d. tjänstemän, som under en lång följd av år innehaft befattningar och på grund därav ansetts vara berättigade till pension. Framställningar därom ha visserligen tidigare avslagits, men det har skett med åberopande av skäl, som näppeligen kunna anses ha varit hållbara. Jag förstår synnerligen väl, att det i en fråga som denna är mycket tacksammare och angenämare att tala till förmån för den ståndpunkt, som utskottets ärade ordförande och den siste ärade talaren intagit, men jag kan inte hjälpa, att jag inte känner mig övertygad av de skäl, som av dem anförts för bifall till utskottets förslag. Jag måste därför vidhålla mitt avslagsyrkande, och jag vill ytterligare framhålla, att då Kungl. Maj:t inte velat taga upp denna fråga och framlägga den för riksdagen, har Kungl. Maj:t därmed bestämt visat sig hysa den uppfattningen, att framställningen icke borde bifallas.</w:t>
      </w:r>
    </w:p>
    <w:p>
      <w:pPr>
        <w:pStyle w:val="Heading2"/>
      </w:pPr>
      <w:r>
        <w:t>6. Nils Gabrielsson (–, man)</w:t>
      </w:r>
    </w:p>
    <w:p>
      <w:r>
        <w:rPr>
          <w:b w:val="0"/>
        </w:rPr>
        <w:t xml:space="preserve">Såsom kammaren erinrar sig, beslöt 1936 års riksdag att bevilja pension till </w:t>
      </w:r>
      <w:r>
        <w:rPr>
          <w:b/>
        </w:rPr>
        <w:t>änkan²</w:t>
      </w:r>
      <w:r>
        <w:rPr>
          <w:b w:val="0"/>
        </w:rPr>
        <w:t xml:space="preserve"> efter byggnadschefen Wästfelt. Den beviljades med anledning av väckta motioner, vari begärdes en pension på 1,500 kronor. Pensionens storlek bestämdes emellertid av riksdagen till 900 kronor. Nu har väckts en motion med begäran, att pensionsbeloppet skulle höjas till 1,200 kronor. Därom yttrar utskottet: »Då enligt bankoutskottets uppfattning någon väsentlig förändring ej inträffat i de förutsättningar, som lågo till grund för fastställandet av det </w:t>
      </w:r>
      <w:r>
        <w:rPr>
          <w:b/>
        </w:rPr>
        <w:t>änkefru²</w:t>
      </w:r>
      <w:r>
        <w:rPr>
          <w:b w:val="0"/>
        </w:rPr>
        <w:t xml:space="preserve"> Wästfelt beviljade pensionsbeloppet, har utskottet, med hänsyn jämväl till de konsekvenser ett bifall till motionerna skulle kunna medföra, ansett sig böra avstyrka bifall till desamma.»</w:t>
        <w:br/>
        <w:br/>
        <w:t xml:space="preserve">Anledningen till att vi, som motionerade i frågan år 1936, ha återkommit i år med begäran om höjning av pensionen är dels att </w:t>
      </w:r>
      <w:r>
        <w:rPr>
          <w:b/>
        </w:rPr>
        <w:t>fru²</w:t>
      </w:r>
      <w:r>
        <w:rPr>
          <w:b w:val="0"/>
        </w:rPr>
        <w:t xml:space="preserve"> Wästfelt, som år 1936 enligt läkarintyg led av avsevärt nedsatt arbetsförmåga, numera enligt bifogade läkarintyg blivit genom svårartad reumatisk sjukdom praktiskt taget helt arbetsoförmögen, dels den omständigheten att riksdagen i ett jämförbart fall år 1938 på förslag av Kungl. Maj:t beviljade en </w:t>
      </w:r>
      <w:r>
        <w:rPr>
          <w:b/>
        </w:rPr>
        <w:t>änkepension²</w:t>
      </w:r>
      <w:r>
        <w:rPr>
          <w:b w:val="0"/>
        </w:rPr>
        <w:t xml:space="preserve"> av 1,200 kronor per år. Det gällde även då en </w:t>
      </w:r>
      <w:r>
        <w:rPr>
          <w:b/>
        </w:rPr>
        <w:t>änka²</w:t>
      </w:r>
      <w:r>
        <w:rPr>
          <w:b w:val="0"/>
        </w:rPr>
        <w:t xml:space="preserve"> efter en befattningshavare vid statens järnvägsbyggnader, nämligen sektionsingenjören Rönströms </w:t>
      </w:r>
      <w:r>
        <w:rPr>
          <w:b/>
        </w:rPr>
        <w:t>änka²</w:t>
      </w:r>
      <w:r>
        <w:rPr>
          <w:b w:val="0"/>
        </w:rPr>
        <w:t xml:space="preserve">. Ser man på de omständigheter i övrigt, som jag förmodar bruka ligga till grund för bankoutskottets prövning av dylika frågor, finner man av handlingarna, att Wästfelts tjänstetid vid statens järnvägsbyggnader var nära 32 år, att Rönströms tjänstetid vid statens järnvägsbyggnader var cirka 23"/, år, att tillgångarna efter Wästfelt uppgingo till 5,882 kronor och tillgångarna efter Rönström till 13,580 kronor, att </w:t>
      </w:r>
      <w:r>
        <w:rPr>
          <w:b/>
        </w:rPr>
        <w:t>fru²</w:t>
      </w:r>
      <w:r>
        <w:rPr>
          <w:b w:val="0"/>
        </w:rPr>
        <w:t xml:space="preserve"> Wästfelt är född år 1878 och </w:t>
      </w:r>
      <w:r>
        <w:rPr>
          <w:b/>
        </w:rPr>
        <w:t>fru²</w:t>
      </w:r>
      <w:r>
        <w:rPr>
          <w:b w:val="0"/>
        </w:rPr>
        <w:t xml:space="preserve"> Rönström år 1882; den senare är således betydligt yngre. Utlåtandet upplyser, att </w:t>
      </w:r>
      <w:r>
        <w:rPr>
          <w:b/>
        </w:rPr>
        <w:t>fru²</w:t>
      </w:r>
      <w:r>
        <w:rPr>
          <w:b w:val="0"/>
        </w:rPr>
        <w:t xml:space="preserve"> Rönström har fyra vuxna barn och </w:t>
      </w:r>
      <w:r>
        <w:rPr>
          <w:b/>
        </w:rPr>
        <w:t>fru²</w:t>
      </w:r>
      <w:r>
        <w:rPr>
          <w:b w:val="0"/>
        </w:rPr>
        <w:t xml:space="preserve"> Wästfelt en son och fem </w:t>
      </w:r>
      <w:r>
        <w:rPr>
          <w:b/>
        </w:rPr>
        <w:t>döttrar²</w:t>
      </w:r>
      <w:r>
        <w:rPr>
          <w:b w:val="0"/>
        </w:rPr>
        <w:t>, varav två av de yngsta ännu icke hunnit komma ut i förvärvsarbete. De övriga äro icke i den ekonomiska ställningen, att de i avsevärd mån kunna bidraga till sin moders ålderdomsförsörjning.</w:t>
        <w:br/>
        <w:br/>
        <w:t xml:space="preserve">Vid en prövning av alla dessa omständigheter tillsammantagna kan jag icke komma fram till annat resultat än att </w:t>
      </w:r>
      <w:r>
        <w:rPr>
          <w:b/>
        </w:rPr>
        <w:t>änkefru²</w:t>
      </w:r>
      <w:r>
        <w:rPr>
          <w:b w:val="0"/>
        </w:rPr>
        <w:t xml:space="preserve"> Wästfelt bör tillerkännas minst lika stor pension som den riksdagen beviljade </w:t>
      </w:r>
      <w:r>
        <w:rPr>
          <w:b/>
        </w:rPr>
        <w:t>fru²</w:t>
      </w:r>
      <w:r>
        <w:rPr>
          <w:b w:val="0"/>
        </w:rPr>
        <w:t xml:space="preserve"> Rönström, nämligen 1,200 kronor per år. Lägger man till detta en rättvis uppskattning av den långa, krävande och värdefulla livsgärning, som </w:t>
      </w:r>
      <w:r>
        <w:rPr>
          <w:b/>
        </w:rPr>
        <w:t>hennes²</w:t>
      </w:r>
      <w:r>
        <w:rPr>
          <w:b w:val="0"/>
        </w:rPr>
        <w:t xml:space="preserve"> avlidne man, arbetschefen Wästfelt, nedlagt i statens tjänst vid byggandet av våra kulturbanor uppe i Norrland, måste man finna, att den blygsamma höjning av pensionen åt hans efterlevande sjuka </w:t>
      </w:r>
      <w:r>
        <w:rPr>
          <w:b/>
        </w:rPr>
        <w:t>hustru²</w:t>
      </w:r>
      <w:r>
        <w:rPr>
          <w:b w:val="0"/>
        </w:rPr>
        <w:t>, som av motionärerna föreslagits, är väl motiverad. Jag vill samtidigt erinra de kamrater, som 1 egenskap av statsrevisorer besökte arbetena på kulturbanorna i Norrbotten, om vilken rörande omsorg arbetschefen Wästfelt ägnade arbetarna däruppe. Det var kanske i viss mån på grund därav som bankoutskottet år 1936 gick med på att pensionen skulle beviljas, ehuru summan då blev alldeles för liten.</w:t>
        <w:br/>
        <w:br/>
        <w:t xml:space="preserve">Jag vill som min personliga uppfattning säga, att det vore staten och riksdagen ovärdigt att på det sätt utskottet avser behandla en sjuk </w:t>
      </w:r>
      <w:r>
        <w:rPr>
          <w:b/>
        </w:rPr>
        <w:t>änka²</w:t>
      </w:r>
      <w:r>
        <w:rPr>
          <w:b w:val="0"/>
        </w:rPr>
        <w:t xml:space="preserve"> efter en statens tjänsteman, som i 32 års tid huvudsakligen varit bosatt uppe i ödebygden, kan man säga. Wästfelt begärde på sin tid att få bo i Umeå men</w:t>
        <w:br/>
        <w:br/>
        <w:t xml:space="preserve">Jag yrkar således bifall till den motion, som väckts i ämnet, med begäran att </w:t>
      </w:r>
      <w:r>
        <w:rPr>
          <w:b/>
        </w:rPr>
        <w:t>änkefru²</w:t>
      </w:r>
      <w:r>
        <w:rPr>
          <w:b w:val="0"/>
        </w:rPr>
        <w:t xml:space="preserve"> Wästfelt skall erhålla en pension av 1,200 kronor.</w:t>
      </w:r>
    </w:p>
    <w:p>
      <w:pPr>
        <w:pStyle w:val="Heading2"/>
      </w:pPr>
      <w:r>
        <w:t>7. Harald Åkerberg (Socialdemokraterna, man)</w:t>
      </w:r>
    </w:p>
    <w:p>
      <w:r>
        <w:rPr>
          <w:b w:val="0"/>
        </w:rPr>
        <w:t xml:space="preserve">Jag har inte deltagit i behandlingen av det föreliggande ärendet. Då herr Gabrielsson talade om de principer, som bruka ligga till grund för bankoutskottets prövning av pensionsärenden, vill jag emellertid framhålla, att en av de principer, som utskottet framför allt brukar hålla styvt på, är att inte upptaga sådana pensionsärenden, som en gång avgjorts, till ny positiv prövning. De omständigheter, som herr Gabrielsson anfört, bl. a. rörande denne Wästfelts förtjänster i arbetet, voro säkert kända redan då ärendet avgjordes år 1936 och i enlighet med bankoutskottets förslag en pension på 900 kronor åt </w:t>
      </w:r>
      <w:r>
        <w:rPr>
          <w:b/>
        </w:rPr>
        <w:t>änkan²</w:t>
      </w:r>
      <w:r>
        <w:rPr>
          <w:b w:val="0"/>
        </w:rPr>
        <w:t xml:space="preserve"> fastställdes.</w:t>
        <w:br/>
        <w:br/>
        <w:t xml:space="preserve">Det enda, som kan åberopas till förmån för att ärendet nu skulle tagas upp till ny prövning och pensionen höjas, är, att </w:t>
      </w:r>
      <w:r>
        <w:rPr>
          <w:b/>
        </w:rPr>
        <w:t>änkefru²</w:t>
      </w:r>
      <w:r>
        <w:rPr>
          <w:b w:val="0"/>
        </w:rPr>
        <w:t xml:space="preserve"> Wästfelt på grund av sjukdom har blivit helt arbetsoförmögen, såsom det står i motionen. Men det är klart, att när en pension fastställes av riksdagen efter bankoutskottets prövning av frågan, tar naturligtvis både utskottet och riksdagen hänsyn till att pensionären efter hand kommer att bli alltmer arbetsoförmögen på grund av både sjukdom och ålder. Beloppet utmätes därför så, att det skall räcka, vare sig vederbörande länge håller sig frisk eller ganska snart blir arbetsoförmögen. Skulle man följa den pricipen, att pensionerna skola höjas ju äldre och skröpligare pensionärerna bli, skulle man ju införa en praxis, som bleve fullständigt ohållbar.</w:t>
        <w:br/>
        <w:br/>
        <w:t>Med hänsyn till dessa betänkligheter anser jag mig böra yrka bifall till utskottets avstyrkande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841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