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2202</w:t>
      </w:r>
    </w:p>
    <w:p>
      <w:r>
        <w:rPr>
          <w:b/>
        </w:rPr>
        <w:t xml:space="preserve">Datum: </w:t>
      </w:r>
      <w:r>
        <w:t>1939-06-06</w:t>
      </w:r>
    </w:p>
    <w:p>
      <w:r>
        <w:rPr>
          <w:b/>
        </w:rPr>
        <w:t xml:space="preserve">Kammare: </w:t>
      </w:r>
      <w:r>
        <w:t>Andra kammaren</w:t>
      </w:r>
    </w:p>
    <w:p>
      <w:r>
        <w:rPr>
          <w:b/>
        </w:rPr>
        <w:t xml:space="preserve">Antal yttranden: </w:t>
      </w:r>
      <w:r>
        <w:t>12</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2026.10.14</w:t>
      </w:r>
    </w:p>
    <w:p>
      <w:r>
        <w:rPr>
          <w:i/>
        </w:rPr>
        <w:t>Markerade ord: ¹ kvinna-ord, ² släktskaps- och tilltalsord, ³ yrkestitlar.</w:t>
      </w:r>
    </w:p>
    <w:p>
      <w:pPr>
        <w:pStyle w:val="Heading2"/>
      </w:pPr>
      <w:r>
        <w:t>1. Solveig Rönn Christiansson (Vänsterpartiet, woman)</w:t>
      </w:r>
    </w:p>
    <w:p>
      <w:r>
        <w:rPr>
          <w:b w:val="0"/>
        </w:rPr>
        <w:t xml:space="preserve">Herr talman! </w:t>
      </w:r>
      <w:r>
        <w:rPr>
          <w:b/>
        </w:rPr>
        <w:t>Mödrahjälpen²</w:t>
      </w:r>
      <w:r>
        <w:rPr>
          <w:b w:val="0"/>
        </w:rPr>
        <w:t xml:space="preserve"> hör utan tvivel till de mera förnämliga framstegen på socialvårdens område. Det har också visat sig, att efterfrågan på dessa bidrag varit större än man väntade sig vid starten och överstigit de medel, som funnits att tillgå. Vidare visa de senaste uppgifterna från socialstyrelsen, att gifta </w:t>
      </w:r>
      <w:r>
        <w:rPr>
          <w:b/>
        </w:rPr>
        <w:t>kvinnor¹</w:t>
      </w:r>
      <w:r>
        <w:rPr>
          <w:b w:val="0"/>
        </w:rPr>
        <w:t xml:space="preserve"> i större utsträckning än ogifta söka denna </w:t>
      </w:r>
      <w:r>
        <w:rPr>
          <w:b/>
        </w:rPr>
        <w:t>mödrahjälp²</w:t>
      </w:r>
      <w:r>
        <w:rPr>
          <w:b w:val="0"/>
        </w:rPr>
        <w:t>.</w:t>
        <w:br/>
        <w:br/>
        <w:t xml:space="preserve">Som vi alla veta är fattigvården graderad. Vi böra därför tillse, att </w:t>
      </w:r>
      <w:r>
        <w:rPr>
          <w:b/>
        </w:rPr>
        <w:t>mödrahjälpen²</w:t>
      </w:r>
      <w:r>
        <w:rPr>
          <w:b w:val="0"/>
        </w:rPr>
        <w:t xml:space="preserve"> icke blir någon illusion, utan att den verkligen kommer de fattigaste </w:t>
      </w:r>
      <w:r>
        <w:rPr>
          <w:b/>
        </w:rPr>
        <w:t>kvinnorna¹</w:t>
      </w:r>
      <w:r>
        <w:rPr>
          <w:b w:val="0"/>
        </w:rPr>
        <w:t xml:space="preserve"> till godo. Redan från början uttrycktes ju vissa bekymmer för en sammanblandning av </w:t>
      </w:r>
      <w:r>
        <w:rPr>
          <w:b/>
        </w:rPr>
        <w:t>mödrahjälp²</w:t>
      </w:r>
      <w:r>
        <w:rPr>
          <w:b w:val="0"/>
        </w:rPr>
        <w:t xml:space="preserve"> och fattigvård, bekymmer, som också under det gångna året verifierats. Befolkningskommissionen framhöll i sitt betänkande i frågan, att </w:t>
      </w:r>
      <w:r>
        <w:rPr>
          <w:b/>
        </w:rPr>
        <w:t>mödrahjälpen²</w:t>
      </w:r>
      <w:r>
        <w:rPr>
          <w:b w:val="0"/>
        </w:rPr>
        <w:t xml:space="preserve"> skulle täcka hela behovet för de hjälpsökande </w:t>
      </w:r>
      <w:r>
        <w:rPr>
          <w:b/>
        </w:rPr>
        <w:t>kvinnorna¹</w:t>
      </w:r>
      <w:r>
        <w:rPr>
          <w:b w:val="0"/>
        </w:rPr>
        <w:t xml:space="preserve">. Den konferens, som hölls hösten 1938 här i Stockholm, gav ytterligare belägg för den rådande förvirringen på detta område. Bestämmelserna om </w:t>
      </w:r>
      <w:r>
        <w:rPr>
          <w:b/>
        </w:rPr>
        <w:t>mödrahjälpen²</w:t>
      </w:r>
      <w:r>
        <w:rPr>
          <w:b w:val="0"/>
        </w:rPr>
        <w:t xml:space="preserve"> tolkas nämligen olika i olika län. Detta har lett till att socialstyrelsen hos Kungl. Maj:t hemställt om klarare direktiv i frågan. Utskottet anser nu för sin del, att det uttalande i denna fråga, som chefen för socialdepartementet gjort i årets statsverksproposition, skulle på något sätt göra det lättare för vederbörande att erhålla både </w:t>
      </w:r>
      <w:r>
        <w:rPr>
          <w:b/>
        </w:rPr>
        <w:t>mödrahjälp²</w:t>
      </w:r>
      <w:r>
        <w:rPr>
          <w:b w:val="0"/>
        </w:rPr>
        <w:t xml:space="preserve"> och fattigvård. Den utslagsgivande principen är emellertid ifråga om båda dessa hjälpformer, såsom vi veta, behovsprincipen. Här kan man dock tala om en behovsprövning i dubbel bemärkelse. Sökes </w:t>
      </w:r>
      <w:r>
        <w:rPr>
          <w:b/>
        </w:rPr>
        <w:t>mödrahjälp²</w:t>
      </w:r>
      <w:r>
        <w:rPr>
          <w:b w:val="0"/>
        </w:rPr>
        <w:t xml:space="preserve"> tager man hänsyn till de inkomster, vederbörande har, och till inkomst räknas då även fattigvårdsbidrag. I fråga om fattigvårdsbidraget tillämpas som sagt behovsprincipen, och det med </w:t>
      </w:r>
      <w:r>
        <w:rPr>
          <w:b/>
        </w:rPr>
        <w:t>mödrahjälpen²</w:t>
      </w:r>
      <w:r>
        <w:rPr>
          <w:b w:val="0"/>
        </w:rPr>
        <w:t xml:space="preserve"> avsedda bidraget uteblir sålunda. Vad syftar egentligen </w:t>
      </w:r>
      <w:r>
        <w:rPr>
          <w:b/>
        </w:rPr>
        <w:t>mödrahjälpen²</w:t>
      </w:r>
      <w:r>
        <w:rPr>
          <w:b w:val="0"/>
        </w:rPr>
        <w:t xml:space="preserve"> till? Jo, givetvis till vad namnet anger, nämligen till att vara en hjälp åt </w:t>
      </w:r>
      <w:r>
        <w:rPr>
          <w:b/>
        </w:rPr>
        <w:t>kvinnor¹</w:t>
      </w:r>
      <w:r>
        <w:rPr>
          <w:b w:val="0"/>
        </w:rPr>
        <w:t xml:space="preserve"> vid viss tid vid havandeskap och vid nedkomst, så att vederbörandes levnadsstandard då skall kunna ligga högre än den i vanliga fall gör. Även för mycket fattiga </w:t>
      </w:r>
      <w:r>
        <w:rPr>
          <w:b/>
        </w:rPr>
        <w:t>kvinnor¹</w:t>
      </w:r>
      <w:r>
        <w:rPr>
          <w:b w:val="0"/>
        </w:rPr>
        <w:t xml:space="preserve"> skall levnadsstandarden vid ett sådant här speciellt tillfälle ligga på en högre nivå än vanligt.</w:t>
        <w:br/>
        <w:br/>
        <w:t xml:space="preserve">Vår motion syftar nu till ett förtydligande av vissa bestämmelser i fattigvårdslagen. Utskottet säger emellertid, att den av oss föreslagna regleringen skulle komma att innebära ett avsteg från grundsatsen om behovsprövning såsom villkor för erhållande av fattigvård. Ja, naturligtvis är det så, det är ju det som frågan egentligen rör sig om. Utskottet är sannerligen troskyldigt, när det konstaterar detta faktum. Felet med </w:t>
      </w:r>
      <w:r>
        <w:rPr>
          <w:b/>
        </w:rPr>
        <w:t>mödrahjälpen²</w:t>
      </w:r>
      <w:r>
        <w:rPr>
          <w:b w:val="0"/>
        </w:rPr>
        <w:t xml:space="preserve"> är nämligen, att de fattigaste icke få den hjälp, som från början var avsedd att utgå.</w:t>
        <w:br/>
        <w:br/>
        <w:t>Vidare hänvisar utskottet i det här sammanhanget till socialvårdskommittén, och som vanligt är det ju alltid, när man skall klara upp även de mest elementära frågor, det bekvämaste sättet att bara hänvisa till denna socialvårdskommitté. Dess förnämsta mission tycks för närvarande vara att tjäna som begravningsplats.</w:t>
        <w:br/>
        <w:br/>
        <w:t>Vår motion syftar, som sagt, till ett undanröjande av den förvirring på</w:t>
        <w:br/>
        <w:br/>
        <w:t xml:space="preserve">Ang. sambandet mellan </w:t>
      </w:r>
      <w:r>
        <w:rPr>
          <w:b/>
        </w:rPr>
        <w:t>mödrahjälp²</w:t>
      </w:r>
      <w:r>
        <w:rPr>
          <w:b w:val="0"/>
        </w:rPr>
        <w:t xml:space="preserve"> och fattigvård. (Forts.) detta område, som befarades redan vid starten. Erfarenheten från det gångna året har givit beläggg för att det fanns anledning att hysa en sådan farhåga. Jag ber därför, herr talman, att få yrka bifall till motionen.</w:t>
      </w:r>
    </w:p>
    <w:p>
      <w:pPr>
        <w:pStyle w:val="Heading2"/>
      </w:pPr>
      <w:r>
        <w:t>2. Kerstin Hesselgren (Folkpartiet, woman)</w:t>
      </w:r>
    </w:p>
    <w:p>
      <w:r>
        <w:rPr>
          <w:b w:val="0"/>
        </w:rPr>
        <w:t xml:space="preserve">Herr talman! Det är alldeles tydligt, att den uppfattning, som man från början hade angående </w:t>
      </w:r>
      <w:r>
        <w:rPr>
          <w:b/>
        </w:rPr>
        <w:t>mödrahjälpen²</w:t>
      </w:r>
      <w:r>
        <w:rPr>
          <w:b w:val="0"/>
        </w:rPr>
        <w:t xml:space="preserve"> och sättet för dess utdelande, under denna första prövotid undergått en viss förändring. Denna förändring har den föregående ärade talarinnan särskilt strukit under. I såväl befolkningskommissionens betänkande som i propositionen hade man alldeles tydligt klart för sig, att det icke borde finnas något samband mellan fattigvård å ena sidan och </w:t>
      </w:r>
      <w:r>
        <w:rPr>
          <w:b/>
        </w:rPr>
        <w:t>mödrahjälp²</w:t>
      </w:r>
      <w:r>
        <w:rPr>
          <w:b w:val="0"/>
        </w:rPr>
        <w:t xml:space="preserve"> å andra sidan. Såsom den föregående ärade talarinnan påpekat, har en viss osäkerhet på denna punkt kommit till synes inom olika kommuner. I somliga kommuner har författningen tolkats så och i andra så. För min del måste jag säga, att jag finner uttalandena på denna punkt ganska distinkta.</w:t>
        <w:br/>
        <w:br/>
        <w:t xml:space="preserve">Den i motionen berörda frågan behandlades, såsom </w:t>
      </w:r>
      <w:r>
        <w:rPr>
          <w:b/>
        </w:rPr>
        <w:t>fru²</w:t>
      </w:r>
      <w:r>
        <w:rPr>
          <w:b w:val="0"/>
        </w:rPr>
        <w:t xml:space="preserve"> Rönn-Christiansson erinrat om, på en konferens i Stockholm 1938. Jag var själv icke närvarande vid denna konferens, men jag har försökt att noggrant taga del av den debatt, som där försiggick, och jag har ett mycket starkt intryck av att dessa saker måste rättas till. I motionen heter det, att man med anledning av konferensen väntar på vissa direktiv från socialstyrelsen till kommunerna, men att dessa ännu icke kommit. Det är nog ganska naturligt, att dessa direktiv ännu inte kommit, ty det har icke varit möjligt för socialstyrelsen att ge några direktiv bara på grund av uttalandena vid denna konferens, utan socialstyrelsen har måst vänta på direktiv från Kungl. Maj:t. Nu har emellertid Kungl. Maj:t i år i statsverkspropositionen behandlat även denna fråga. Departementschefen har sålunda sagt: »Då det nu upplyses, att de befarade svårigheterna framträtt, och då dessa enligt vunna erfarenheter torde kunna undgås genom att </w:t>
      </w:r>
      <w:r>
        <w:rPr>
          <w:b/>
        </w:rPr>
        <w:t>mödrahjälp²</w:t>
      </w:r>
      <w:r>
        <w:rPr>
          <w:b w:val="0"/>
        </w:rPr>
        <w:t xml:space="preserve"> i vissa fall finge utgå samtidigt med fattigvård, anser jag mig böra framhålla, att enär </w:t>
      </w:r>
      <w:r>
        <w:rPr>
          <w:b/>
        </w:rPr>
        <w:t>mödrahjälpsförordningen²</w:t>
      </w:r>
      <w:r>
        <w:rPr>
          <w:b w:val="0"/>
        </w:rPr>
        <w:t xml:space="preserve"> allenast beträffande </w:t>
      </w:r>
      <w:r>
        <w:rPr>
          <w:b/>
        </w:rPr>
        <w:t>kvinnor¹</w:t>
      </w:r>
      <w:r>
        <w:rPr>
          <w:b w:val="0"/>
        </w:rPr>
        <w:t xml:space="preserve">, som av fattigvården mottagits till stadigvarande försörjning, stadgar förbud mot den av socialstyrelsen föreslagna anordningen — — —» etc. Departementschefen menar sålunda, att det hädanefter icke finns några hinder för att utdela </w:t>
      </w:r>
      <w:r>
        <w:rPr>
          <w:b/>
        </w:rPr>
        <w:t>mödrahjälp²</w:t>
      </w:r>
      <w:r>
        <w:rPr>
          <w:b w:val="0"/>
        </w:rPr>
        <w:t xml:space="preserve"> samtidigt med fattigvård, under förutsättning nämligen, att det icke är fråga om person, som av fattigvården omhändertagits för varaktig försörjning. Sedan statsrådets uttalande godtagits av riksdagen, kommer socialstyrelsen att kunna utsända de väntade direktiven till kommunerna. Jag har helt nyligen i socialstyrelsen förvissat mig om, att styrelsen snart nog är betänkt på att utsända dessa direktiv, som jag tror, i viss mån åtminstone, skola komma att uppfylla de krav, som ställts uti denna motion. Det förefaller mig under sådana förhållanden, som om det hade varit en olämplig anordning, om utskottet skulle ha förordat en utredning i motionens syfte.</w:t>
        <w:br/>
        <w:br/>
        <w:t>Den ärade talarinnan får förlåta oss, att vi hänvisade till socialvårdskommittén, men en sådan hänvisning låg så snubblande nära, att det var nästan omöjligt för utskottet att icke göra den. Denna kommitté har nämligen just fått i uppdrag att reda ut förhållandet mellan olika vårdformer och utgifternas fördelning mellan stat och kommun. Det skulle väl under sådana förhållanden nästan ha tett sig som en försummelse från utskottets sida, om utskottet icke gjort denna hänvisning.</w:t>
        <w:br/>
        <w:br/>
        <w:t>Jag hoppas, herr talman, att de direktiv, som nu komma att gå ut till kommunerna, skola göra det lättsammare än hittills för dessa att finna de</w:t>
      </w:r>
    </w:p>
    <w:p>
      <w:pPr>
        <w:pStyle w:val="Heading2"/>
      </w:pPr>
      <w:r>
        <w:t>3. Solveig Rönn Christiansson (Vänsterpartiet, woman)</w:t>
      </w:r>
    </w:p>
    <w:p>
      <w:r>
        <w:rPr>
          <w:b w:val="0"/>
        </w:rPr>
        <w:t xml:space="preserve">Herr talman! Den passus, som </w:t>
      </w:r>
      <w:r>
        <w:rPr>
          <w:b/>
        </w:rPr>
        <w:t>fröken²</w:t>
      </w:r>
      <w:r>
        <w:rPr>
          <w:b w:val="0"/>
        </w:rPr>
        <w:t xml:space="preserve"> Hesselgren här refererade till, är jag fullt på det klara med. Men även om kommunerna få dessa direktiv, som </w:t>
      </w:r>
      <w:r>
        <w:rPr>
          <w:b/>
        </w:rPr>
        <w:t>fröken²</w:t>
      </w:r>
      <w:r>
        <w:rPr>
          <w:b w:val="0"/>
        </w:rPr>
        <w:t xml:space="preserve"> Hesselgren talade om, så bortfalla därmed icke de brister, som vi med vår motion velat råda bot på. Motionen syftar ju till ett förtydligande av bestämmelserna 1 fattigvårdslagen angående behovsprövningen. Svårigheten att tillämpa den ena eller den andra hjälpformen kommer säkerligen att bestå, så länge behovsprincipen finns kvar.</w:t>
        <w:br/>
        <w:br/>
        <w:t xml:space="preserve">Jag förstår ju också så väl </w:t>
      </w:r>
      <w:r>
        <w:rPr>
          <w:b/>
        </w:rPr>
        <w:t>fröken²</w:t>
      </w:r>
      <w:r>
        <w:rPr>
          <w:b w:val="0"/>
        </w:rPr>
        <w:t xml:space="preserve"> Hesselgrens synpunkter i fråga om denna hänvisning till socialvårdskommittén. Det är emellertid att hoppas, att denna kommitté, om den icke vill betraktas ur begravningssynpunkter, icke visar sig alltför liknöjd (!) för det i denna motion framförda önskemålet.</w:t>
      </w:r>
    </w:p>
    <w:p>
      <w:pPr>
        <w:pStyle w:val="Heading2"/>
      </w:pPr>
      <w:r>
        <w:t>4. Johan Brädefors (Vänsterpartiet, man)</w:t>
      </w:r>
    </w:p>
    <w:p>
      <w:r>
        <w:rPr>
          <w:b w:val="0"/>
        </w:rPr>
        <w:t xml:space="preserve">Herr talman! Den omständighet, som </w:t>
      </w:r>
      <w:r>
        <w:rPr>
          <w:b/>
        </w:rPr>
        <w:t>fröken²</w:t>
      </w:r>
      <w:r>
        <w:rPr>
          <w:b w:val="0"/>
        </w:rPr>
        <w:t xml:space="preserve"> Hesselgren pekade på, nämligen att chefen för socialdepartementet i årets statsverksproposition gjort det uttalandet, att </w:t>
      </w:r>
      <w:r>
        <w:rPr>
          <w:b/>
        </w:rPr>
        <w:t>mödrahjälp²</w:t>
      </w:r>
      <w:r>
        <w:rPr>
          <w:b w:val="0"/>
        </w:rPr>
        <w:t xml:space="preserve"> i vissa fall finge utgå samtidigt med fattigvård, berör egentligen icke det önskemål, som vi framfört i vår motion.</w:t>
        <w:br/>
        <w:br/>
        <w:t xml:space="preserve">I fråga om </w:t>
      </w:r>
      <w:r>
        <w:rPr>
          <w:b/>
        </w:rPr>
        <w:t>mödrahjälpen²</w:t>
      </w:r>
      <w:r>
        <w:rPr>
          <w:b w:val="0"/>
        </w:rPr>
        <w:t xml:space="preserve"> tillämpas behovsprincipen, och hänsyn tages sålunda också till det fattigvårdsbidrag, som vederbörande kan ha. Om det sedan blir fråga om att ge samma person fattigvård, kommer sålunda principen om behovsprövning ännu en gång i tillämpning, och man säger följaktligen, att behovet av fattigvård nedgått i Just den omfattning, som motsvarar vad vederbörande fått i </w:t>
      </w:r>
      <w:r>
        <w:rPr>
          <w:b/>
        </w:rPr>
        <w:t>mödrahjälp²</w:t>
      </w:r>
      <w:r>
        <w:rPr>
          <w:b w:val="0"/>
        </w:rPr>
        <w:t xml:space="preserve">. Alltså: denna person får icke ett öre mer under havandeskap och vid barnsbörd. Det är detta förhållande som vi genom vår motion velat komma till rätta med, så att fattigvårdsmyndigheterna, då de bestämma fattigvårdsbidragets storlek, icke skola säga, att vederbörande är skyldig att vidkännas den minskning i fattigvårdsbidraget, som motsvarar den av </w:t>
      </w:r>
      <w:r>
        <w:rPr>
          <w:b/>
        </w:rPr>
        <w:t>henne²</w:t>
      </w:r>
      <w:r>
        <w:rPr>
          <w:b w:val="0"/>
        </w:rPr>
        <w:t xml:space="preserve"> erhållna </w:t>
      </w:r>
      <w:r>
        <w:rPr>
          <w:b/>
        </w:rPr>
        <w:t>mödrahjälpen²</w:t>
      </w:r>
      <w:r>
        <w:rPr>
          <w:b w:val="0"/>
        </w:rPr>
        <w:t xml:space="preserve">. Utskottet vill helt enkelt blanda bort detta förhållande genom att hänvisa till statsrådets uttalande om </w:t>
      </w:r>
      <w:r>
        <w:rPr>
          <w:b/>
        </w:rPr>
        <w:t>mödrahjälpens²</w:t>
      </w:r>
      <w:r>
        <w:rPr>
          <w:b w:val="0"/>
        </w:rPr>
        <w:t xml:space="preserve"> utbetalande.</w:t>
      </w:r>
    </w:p>
    <w:p>
      <w:pPr>
        <w:pStyle w:val="Heading2"/>
      </w:pPr>
      <w:r>
        <w:t>5. Elsa Johansson (Socialdemokraterna, woman)</w:t>
      </w:r>
    </w:p>
    <w:p>
      <w:r>
        <w:rPr>
          <w:b w:val="0"/>
        </w:rPr>
        <w:t xml:space="preserve">Herr talman! Det spörsmål som här föreligger var ju föremål för en mycket ingående diskussion vid den konferens, som hölls med </w:t>
      </w:r>
      <w:r>
        <w:rPr>
          <w:b/>
        </w:rPr>
        <w:t>mödrahjälpsnämnderna²</w:t>
      </w:r>
      <w:r>
        <w:rPr>
          <w:b w:val="0"/>
        </w:rPr>
        <w:t xml:space="preserve"> här i Stockholm. Det visade sig under denna diskussion, att man på en hel del platser i landet inte minskat på fattigvårdsunderstödet, om vederbörande fått </w:t>
      </w:r>
      <w:r>
        <w:rPr>
          <w:b/>
        </w:rPr>
        <w:t>mödrahjälp²</w:t>
      </w:r>
      <w:r>
        <w:rPr>
          <w:b w:val="0"/>
        </w:rPr>
        <w:t xml:space="preserve">, ja, att man till och med satt som villkor för att vederbörande skulle få </w:t>
      </w:r>
      <w:r>
        <w:rPr>
          <w:b/>
        </w:rPr>
        <w:t>mödrahjälp²</w:t>
      </w:r>
      <w:r>
        <w:rPr>
          <w:b w:val="0"/>
        </w:rPr>
        <w:t xml:space="preserve">, att fattigvårdsbidraget inte skulle minskas i motsvarande grad. Man torde kunna säga, att nästan alla de närvarande, vilken ståndpunkt de själva än intagit i fråga om själva förfarandet, funno denna metod vara mindre sympatisk. Det sades också, att man gav med den ena handen och tog igen med den andra. Det torde väl även vara uppenbart, att de, som av ena eller andra orsaken kommit i den olyckliga belägenheten, att de måste anlita fattigvården för sin försörjning, också äro de, som allra mest och i fullaste utsträckning äro i behov av denna </w:t>
      </w:r>
      <w:r>
        <w:rPr>
          <w:b/>
        </w:rPr>
        <w:t>mödrahjälp²</w:t>
      </w:r>
      <w:r>
        <w:rPr>
          <w:b w:val="0"/>
        </w:rPr>
        <w:t>.</w:t>
        <w:br/>
        <w:br/>
        <w:t xml:space="preserve">Socialminister Möller sade, när han hälsade </w:t>
      </w:r>
      <w:r>
        <w:rPr>
          <w:b/>
        </w:rPr>
        <w:t>mödrahjälpskonferensens²</w:t>
      </w:r>
      <w:r>
        <w:rPr>
          <w:b w:val="0"/>
        </w:rPr>
        <w:t xml:space="preserve"> medlemmar välkomna, att ett litet barns ankomst till denna världen borde vara en lycklig tilldragelse för modern och icke en källa till nya bekymmer för </w:t>
      </w:r>
      <w:r>
        <w:rPr>
          <w:b/>
        </w:rPr>
        <w:t>henne²</w:t>
      </w:r>
      <w:r>
        <w:rPr>
          <w:b w:val="0"/>
        </w:rPr>
        <w:t xml:space="preserve">. Det var ju också på dessa grunder som </w:t>
      </w:r>
      <w:r>
        <w:rPr>
          <w:b/>
        </w:rPr>
        <w:t>mödrahjälpen²</w:t>
      </w:r>
      <w:r>
        <w:rPr>
          <w:b w:val="0"/>
        </w:rPr>
        <w:t xml:space="preserve"> kom till — eller</w:t>
        <w:br/>
        <w:br/>
        <w:t xml:space="preserve">med andra ord för att den blivande modern skulle få ökade möjligheter till utkomst under den tid, då </w:t>
      </w:r>
      <w:r>
        <w:rPr>
          <w:b/>
        </w:rPr>
        <w:t>hon²</w:t>
      </w:r>
      <w:r>
        <w:rPr>
          <w:b w:val="0"/>
        </w:rPr>
        <w:t xml:space="preserve"> hade som mest behov av samhällets hjälp för sin och barnets trygghet. Ser man saken på detta sätt, är det ju helt naturligt, att man reagerar mot det förhållandet, att kommunerna passa på att på statens bekostnad draga in på den hjälp, som tidigare kan ha utgått. Av socialministerns uttalande under femte huvudtiteln torde vi emellertid kunna utläsa, att det icke alls är behövligt med ett system, som så att säga eliminerar </w:t>
      </w:r>
      <w:r>
        <w:rPr>
          <w:b/>
        </w:rPr>
        <w:t>mödrahjälpen²</w:t>
      </w:r>
      <w:r>
        <w:rPr>
          <w:b w:val="0"/>
        </w:rPr>
        <w:t xml:space="preserve"> genom en motsvarande minskning i utgående fattigunderstöd. Jag förstår ju, att det kanske är svårt att ändra på bestämmelserna i fattigvårdslagen bara för en sådan här sak. Jag tror emellertid, att det är av väldigt stor betydelse, att man från riksdagens sida säger ifrån, att man på den föreliggande frågan anlägger just de synpunkter, som framkommit här i dag.</w:t>
      </w:r>
    </w:p>
    <w:p>
      <w:pPr>
        <w:pStyle w:val="Heading2"/>
      </w:pPr>
      <w:r>
        <w:t>6. Kerstin Hesselgren (Folkpartiet, woman)</w:t>
      </w:r>
    </w:p>
    <w:p>
      <w:r>
        <w:rPr>
          <w:b w:val="0"/>
        </w:rPr>
        <w:t xml:space="preserve">Herr talman! Jag skulle bara vilja framhålla, att den fråga, som vi nu syssla med, är mycket ny. Man kan icke alltid från första stund man ger sig in på nya vägar vara på det klara med, hur man skall förfara. Vid den konferens här i Stockholm, som den sista ärade talarinnan mycket bra relaterade, fick man ju också ett mycket starkt intryck utav, att alla äro överens om att </w:t>
      </w:r>
      <w:r>
        <w:rPr>
          <w:b/>
        </w:rPr>
        <w:t>mödrahjälpen²</w:t>
      </w:r>
      <w:r>
        <w:rPr>
          <w:b w:val="0"/>
        </w:rPr>
        <w:t xml:space="preserve"> icke skall ersätta fattigvård utan att båda dessa hjälpformer skola kunna anlitas samtidigt. Denna uppfattning har ju också i det stora hela kommit till uttryck i utskottets betänkande. Frågan har bara varit: skola vi gå in med en skrivelse till Kungl. Maj:t med begäran om ändring i fattigvårdslagen? Inför det faktum att den stora socialvårdskommittén måste taga upp även det här föreliggande spörsmålet, har utskottet icke velat vara med om en skrivelse utan menat, att man borde avvakta och se vad resultatet kan bli av den skrivelse, som socialstyrelsen snart nog kommer att utfärda med anledning av socialministerns uttalande i årets statsverksproposition och naturligtvis också med stöd av de uttalanden, som gjorts här i riksdagen under denna debatt. Jag tror därför, att den klokaste vägen är den, som utskottet slagit in på.</w:t>
      </w:r>
    </w:p>
    <w:p>
      <w:pPr>
        <w:pStyle w:val="Heading2"/>
      </w:pPr>
      <w:r>
        <w:t>7. Johan Brädefors (Vänsterpartiet, man)</w:t>
      </w:r>
    </w:p>
    <w:p>
      <w:r>
        <w:rPr>
          <w:b w:val="0"/>
        </w:rPr>
        <w:t xml:space="preserve">Herr talman! Jag skulle för min personliga del gärna vilja dela </w:t>
      </w:r>
      <w:r>
        <w:rPr>
          <w:b/>
        </w:rPr>
        <w:t>fröken²</w:t>
      </w:r>
      <w:r>
        <w:rPr>
          <w:b w:val="0"/>
        </w:rPr>
        <w:t xml:space="preserve"> Hesselgrens uppfattning, men jag har dock erfarenhet utav att ett uttalande sådant som det utskottet här gjort om denna frågas hänskjutande till socialvårdskommittén icke har något positivt värde. Från de år jag suttit i riksdagen har jag en livlig erfarenhet av att man på detta sätt begravt massor av motioner — icke bara sådana, som hänskjutits till socialvårdskommittén. Jag kan sålunda erinra om att massor av väl motiverade motioner på samma sätt hänskjutits till den pågående egnahemsutredningen. Hava de i dessa motioner framförda synpunkterna, såsom det så vackert framhållits, också tagits upp av egnahemsutredningen? Detsamma är förhållandet med en hel del andra utredningar, och samma blir säkerligen också förhållandet beträffande socialvårdskommittén.</w:t>
        <w:br/>
        <w:br/>
        <w:t>Vad är det väl nu som hindrar, att denna speciella fråga, vilken även utskottets talesman erkände sig till fullo behjärta, rättas till genom att riksdagen i skrivelse till Kungl. Maj:t begär en utredning? Jag tycker, att det hela verkar, som om man icke ville bifalla en motion bara därför att den kommer från ett visst håll. Så skall man naturligtvis icke behandla motioner, om man vill behandla dem sakligt, utan i stället skall man naturligtvis se till vad som behöver göras och handla därefter. Från denna utgångspunkt anser jag, att det inte finns något skäl att gå emot den av oss väckta motionen, till vilken jag ber att få yrka bifall.</w:t>
      </w:r>
    </w:p>
    <w:p>
      <w:pPr>
        <w:pStyle w:val="Heading2"/>
      </w:pPr>
      <w:r>
        <w:t>8. Kerstin Hesselgren (Folkpartiet, woman)</w:t>
      </w:r>
    </w:p>
    <w:p>
      <w:r>
        <w:rPr>
          <w:b w:val="0"/>
        </w:rPr>
        <w:t>Herr talman! Jag måste säga gentemot den siste ärade talaren, att andra lagutskottet har fullkomligt sakligt behandlat denna absolut opolitiska fråga. Det har inte haft den ringaste inverkan på utskottets ställningstagande till den föreliggande motionen, att den förts fram av representanter för en viss politisk åskådning.</w:t>
        <w:br/>
        <w:br/>
        <w:t>Jag hoppas emellertid, herr Brädefors, att utvecklingen i denna fråga för framtiden kommer att gå i den riktning, som vi båda önska.</w:t>
      </w:r>
    </w:p>
    <w:p>
      <w:pPr>
        <w:pStyle w:val="Heading2"/>
      </w:pPr>
      <w:r>
        <w:t>9. Olivia Nordgren (Socialdemokraterna, woman)</w:t>
      </w:r>
    </w:p>
    <w:p>
      <w:r>
        <w:rPr>
          <w:b w:val="0"/>
        </w:rPr>
        <w:t>Herr talman! I anledning av vad här sagts om att socialvårdskommittén skulle utgöra någon slags begravningsplats för frågor, som man inte ville lösa, ber jag få erinra kammarens ledamöter om att det är ett stort komplex av frågor som hänskjutits till socialvårdskommittén och att denna kommitté icke allenast har till uppgift att framlägga förslag till en omorganisation av vårt fattigvårdsväsende, utan även att försöka utreda, hur man skall kunna samordna hela socialvården, så att i varje särskilt fall de på olika grunder utgående understöden kunna avvägas på lämpligt sätt. Därtill kommer, att då vi så sent som 1937 fingo en hel rad nya lagar och förordningar på socialvårdens område, måste socialvårdskommittén genom undersökningar hos de kommunala myndigheterna inhämta uppgifter om hur dessa lagar verka, innan den föreslår några åtgärder, och sådana statistiska utredningar taga en viss tid.</w:t>
        <w:br/>
        <w:br/>
        <w:t xml:space="preserve">Det är klart, att man kan bryta ut en detaljfråga som denna, och jag kan inte här yttra mig om, huruvida detta kommer att ske. J ag vill endast göra ett tillägg till </w:t>
      </w:r>
      <w:r>
        <w:rPr>
          <w:b/>
        </w:rPr>
        <w:t>fru²</w:t>
      </w:r>
      <w:r>
        <w:rPr>
          <w:b w:val="0"/>
        </w:rPr>
        <w:t xml:space="preserve"> Johanssons redogörelse för konferensen med </w:t>
      </w:r>
      <w:r>
        <w:rPr>
          <w:b/>
        </w:rPr>
        <w:t>mödrahjälpsnämnderna²</w:t>
      </w:r>
      <w:r>
        <w:rPr>
          <w:b w:val="0"/>
        </w:rPr>
        <w:t xml:space="preserve">. Ordföranden i socialvårdskommittén, landshövding Eriksson, förklarade vid denna konferens, att han i här ifrågavarande avseende inte brydde sig om vad som föreskrevs i motiveringen till </w:t>
      </w:r>
      <w:r>
        <w:rPr>
          <w:b/>
        </w:rPr>
        <w:t>mödrahjälpsförordningen²</w:t>
      </w:r>
      <w:r>
        <w:rPr>
          <w:b w:val="0"/>
        </w:rPr>
        <w:t xml:space="preserve">, enär han ansåg, att de </w:t>
      </w:r>
      <w:r>
        <w:rPr>
          <w:b/>
        </w:rPr>
        <w:t>mödrar²</w:t>
      </w:r>
      <w:r>
        <w:rPr>
          <w:b w:val="0"/>
        </w:rPr>
        <w:t xml:space="preserve">, som voro så fattiga, att de fingo fattigvårdsunderstöd, framför allt behövde denna </w:t>
      </w:r>
      <w:r>
        <w:rPr>
          <w:b/>
        </w:rPr>
        <w:t>mödrahjälp²</w:t>
      </w:r>
      <w:r>
        <w:rPr>
          <w:b w:val="0"/>
        </w:rPr>
        <w:t xml:space="preserve"> vid sidan av fattigvårdsunderstödet, och att han t. o. m. uppställde såsom ett villkor att fattigvårdsstyrelserna i särskilda fall skulle betala ut fattigvårdsunderstödet oaktat </w:t>
      </w:r>
      <w:r>
        <w:rPr>
          <w:b/>
        </w:rPr>
        <w:t>mödrahjälp²</w:t>
      </w:r>
      <w:r>
        <w:rPr>
          <w:b w:val="0"/>
        </w:rPr>
        <w:t xml:space="preserve"> utginge. Han tillade: »Jag vet, att detta strider mot förordningens motivering, men icke mot själva förordningen. Vill man göra anmärkning mot mig för detta, må man göra det, men jag anser mig handla riktigt!»</w:t>
        <w:br/>
        <w:br/>
        <w:t>När ordföranden i socialvårdskommittén har en sådan inställning till denna fråga, tror jag inte att man behöver befara, att de önskemål, som här uttalats, SO att skjutas undan på något sätt eller icke bli vederbörligen tillgodosedda.</w:t>
        <w:br/>
        <w:br/>
        <w:t>Jag vill dessutom framhålla, att fattigvårdsmyndigheterna givetvis ha följt förordningen — vi kunna väl ändå inte begära av fattigvårdsmyndigheterna, att de skola bryta mot densamma. När de nya direktiven utgå, kan man också förvänta, att fattigvårdsmyndigheterna komma att följa dessa. Vi böra därför avvakta, hur fattigvårdsmyndigheterna komma att ställa sig, sedan förordningen på denna punkt blivit förtydligad, som skett genom departementschefens uttalande i årets statsverksproposition.</w:t>
        <w:br/>
        <w:br/>
        <w:t>Herr talman! Jag yrkar bifall till utskottets förslag.</w:t>
      </w:r>
    </w:p>
    <w:p>
      <w:pPr>
        <w:pStyle w:val="Heading2"/>
      </w:pPr>
      <w:r>
        <w:t>10. Solveig Rönn Christiansson (Vänsterpartiet, woman)</w:t>
      </w:r>
    </w:p>
    <w:p>
      <w:r>
        <w:rPr>
          <w:b w:val="0"/>
        </w:rPr>
        <w:t xml:space="preserve">Herr talman! </w:t>
      </w:r>
      <w:r>
        <w:rPr>
          <w:b/>
        </w:rPr>
        <w:t>Fru²</w:t>
      </w:r>
      <w:r>
        <w:rPr>
          <w:b w:val="0"/>
        </w:rPr>
        <w:t xml:space="preserve"> Nordgren framhöll, att socialvårdskommittén har en mycket stor arbetsbörda. Det borde väl då vara tacknämligt för nämnda kommitté, om den nu föreliggande frågan löstes separat, vilket kan ske med lika bra resultat.</w:t>
        <w:br/>
        <w:br/>
        <w:t xml:space="preserve">För övrigt vill jag säga, att jag också har mig bekant, att landshövding Eriksson hör till de vidhjärtade människor, som ordnat det så att </w:t>
      </w:r>
      <w:r>
        <w:rPr>
          <w:b/>
        </w:rPr>
        <w:t>mödrahjälp²</w:t>
      </w:r>
      <w:r>
        <w:rPr>
          <w:b w:val="0"/>
        </w:rPr>
        <w:t xml:space="preserve"> och fattigvårdsbidrag utgå samtidigt.</w:t>
        <w:br/>
        <w:br/>
        <w:t xml:space="preserve">I anledning av </w:t>
      </w:r>
      <w:r>
        <w:rPr>
          <w:b/>
        </w:rPr>
        <w:t>fröken²</w:t>
      </w:r>
      <w:r>
        <w:rPr>
          <w:b w:val="0"/>
        </w:rPr>
        <w:t xml:space="preserve"> Hesselgrens sista replik till herr Brädefors, där </w:t>
      </w:r>
      <w:r>
        <w:rPr>
          <w:b/>
        </w:rPr>
        <w:t>fröken²</w:t>
      </w:r>
      <w:r>
        <w:rPr>
          <w:b w:val="0"/>
        </w:rPr>
        <w:t xml:space="preserve"> Hesselgren poängterade, att motionerna icke behandlas efter partisynpunkter, vill jag säga, att detta trodde jag också, ända till dess att herr Nilsson i Göteborg i ett anförande här i kammaren — vilket ju återfinnes 1 protokollet — förklarade, att man tar hänsyn till, från vilket parti en motion kommer.</w:t>
      </w:r>
    </w:p>
    <w:p>
      <w:pPr>
        <w:pStyle w:val="Heading2"/>
      </w:pPr>
      <w:r>
        <w:t>11. Emil Näsström (Socialdemokraterna, man)</w:t>
      </w:r>
    </w:p>
    <w:p>
      <w:r>
        <w:rPr>
          <w:b w:val="0"/>
        </w:rPr>
        <w:t>Herr talman! Det är en sak i detta sammanhang, som jag ber att särskilt få påpeka.</w:t>
        <w:br/>
        <w:br/>
        <w:t>Vid diskussion om socialvårdsfrågor händer det gärna, att landets fattigvårdsstyrelser bli utpekade såsom busen i detta sammanhang. Jag tror inte, att fattigvårdsstyrelserna i allmänhet ha gjort sig förtjänta av ett sådant omdöme, utan att man nog har alltför lätt att generalisera på detta område. Jag är också övertygad om att flertalet av landets fattigvårdsstyrelser ha fattat sin uppgift på rätt sätt, när det gäller den nu föreliggande frågan.</w:t>
        <w:br/>
        <w:br/>
        <w:t xml:space="preserve">Det är en detalj, som ingen av talarna här har omnämnt, nämligen att det även utgår ett moderskapsunderstöd. De flesta, för att inte säga alla, </w:t>
      </w:r>
      <w:r>
        <w:rPr>
          <w:b/>
        </w:rPr>
        <w:t>mödrar²</w:t>
      </w:r>
      <w:r>
        <w:rPr>
          <w:b w:val="0"/>
        </w:rPr>
        <w:t xml:space="preserve"> i denna belägenhet erhålla detta moderskapsunderstöd utan någon egentlig behovsprövning, och dessa 75 kronor utgöra således ett välkommet plus till det fattigvårdsunderstöd, som utgår.</w:t>
        <w:br/>
        <w:br/>
        <w:t xml:space="preserve">Vad som brister härvidlag är enligt mitt sätt att se, att </w:t>
      </w:r>
      <w:r>
        <w:rPr>
          <w:b/>
        </w:rPr>
        <w:t>mödrahjälpsnämnderna²</w:t>
      </w:r>
      <w:r>
        <w:rPr>
          <w:b w:val="0"/>
        </w:rPr>
        <w:t xml:space="preserve"> icke ha några som helst enhetliga regler att gå efter, när det gäller att bestämma storleken av </w:t>
      </w:r>
      <w:r>
        <w:rPr>
          <w:b/>
        </w:rPr>
        <w:t>mödrahjälpen²</w:t>
      </w:r>
      <w:r>
        <w:rPr>
          <w:b w:val="0"/>
        </w:rPr>
        <w:t xml:space="preserve">. Av den lilla statistik, som finns, framgår att det varierar åtskilligt på denna punkt. Många </w:t>
      </w:r>
      <w:r>
        <w:rPr>
          <w:b/>
        </w:rPr>
        <w:t>mödrahjälpsnämnder²</w:t>
      </w:r>
      <w:r>
        <w:rPr>
          <w:b w:val="0"/>
        </w:rPr>
        <w:t xml:space="preserve"> bevilja i regel 300 kronor, under det att andra äro mera sparsamma. Skall man sätta in en stöt på detta område, tror jag, att det vore klokare att åstadkomma ett slags reglemente för </w:t>
      </w:r>
      <w:r>
        <w:rPr>
          <w:b/>
        </w:rPr>
        <w:t>mödrahjälpsnämnderna²</w:t>
      </w:r>
      <w:r>
        <w:rPr>
          <w:b w:val="0"/>
        </w:rPr>
        <w:t xml:space="preserve"> och inte för fattigvårdsstyrelserna. Jag skulle tro, att fattigvårdsstyrelserna i regel förstå denna sak mycket bra och även göra sin plikt.</w:t>
        <w:br/>
        <w:br/>
        <w:t>Jag ber att få yrka bifall till utskottets hemställan.</w:t>
      </w:r>
    </w:p>
    <w:p>
      <w:pPr>
        <w:pStyle w:val="Heading2"/>
      </w:pPr>
      <w:r>
        <w:t>12. Olof Nilsson (Socialdemokraterna, man)</w:t>
      </w:r>
    </w:p>
    <w:p>
      <w:r>
        <w:rPr>
          <w:b w:val="0"/>
        </w:rPr>
        <w:t xml:space="preserve">Herr talman! Jag har litet svårt att förstå, varför jag ofrivilligt skall dragas in i den träta, som min ärade kamrat på Göteborgsbänken givit upphov till. Jag vill emellertid ha anfört till protokollet, att den tolkning, som </w:t>
      </w:r>
      <w:r>
        <w:rPr>
          <w:b/>
        </w:rPr>
        <w:t>fru²</w:t>
      </w:r>
      <w:r>
        <w:rPr>
          <w:b w:val="0"/>
        </w:rPr>
        <w:t xml:space="preserve"> Rönn-Christiansson gav ett yttrande, som jag fällt här i kammaren i ett annat sammanhang, var — efter vanligheten borde jag kanske säga — mycket fri, och att </w:t>
      </w:r>
      <w:r>
        <w:rPr>
          <w:b/>
        </w:rPr>
        <w:t>fru²</w:t>
      </w:r>
      <w:r>
        <w:rPr>
          <w:b w:val="0"/>
        </w:rPr>
        <w:t xml:space="preserve"> Rönn-Christiansson i detta avseende målar så, som </w:t>
      </w:r>
      <w:r>
        <w:rPr>
          <w:b/>
        </w:rPr>
        <w:t>hon²</w:t>
      </w:r>
      <w:r>
        <w:rPr>
          <w:b w:val="0"/>
        </w:rPr>
        <w:t xml:space="preserve"> önskar måla.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2202</dc:title>
  <dc:subject>2026.10.14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2026.10.14</cp:version>
</cp:coreProperties>
</file>