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27</w:t>
      </w:r>
    </w:p>
    <w:p>
      <w:r>
        <w:rPr>
          <w:b/>
        </w:rPr>
        <w:t xml:space="preserve">Datum: </w:t>
      </w:r>
      <w:r>
        <w:t>1903-02-18</w:t>
      </w:r>
    </w:p>
    <w:p>
      <w:r>
        <w:rPr>
          <w:b/>
        </w:rPr>
        <w:t xml:space="preserve">Kammare: </w:t>
      </w:r>
      <w:r>
        <w:t>Första kammaren</w:t>
      </w:r>
    </w:p>
    <w:p>
      <w:r>
        <w:rPr>
          <w:b/>
        </w:rPr>
        <w:t xml:space="preserve">Antal yttranden: </w:t>
      </w:r>
      <w:r>
        <w:t>2</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Carl Birger Hasselrot (–, man)</w:t>
      </w:r>
    </w:p>
    <w:p>
      <w:r>
        <w:rPr>
          <w:b w:val="0"/>
        </w:rPr>
        <w:t>Som kammaren behagade finna, har jag reserverat mig mot lagutskottets hemställan i denna del. Frågan är efter mitt förmenande af skäligen liten beskaffenhet, men den har dock en viss betydelse, som gör, att jag nödgats ställa mig såsom reservant.</w:t>
        <w:br/>
        <w:br/>
        <w:t xml:space="preserve">Som kammaren af betänkandet finner, är det fråga om, då skillnad till säng och säte mellan ett par makar ägt rum, hvilken af makarne som skall förestå boet och barnen. Sådan som lagen nu är, är det bestämdt, att om båda äro till skillnaden vållande, skall den förese boet och barnen, som bäst därtill är fallen, och om de äro lika fallne, står mannen närmast. Det är denna förmånsrätt för mannen, som motionären och lagutskottet vilja hafva bort. Nu är det min öfvertygelse, att det fall, som ifrågasättes, skall mycket sällan förekomma, det är endast då båda makarne äro lika fallne. Man har då först att se på makarnes person, och det torde vara mycket ovanligt, att icke den ene maken är mera fallen än den andre att vårda barnen och boet; skulle de härutinnan vara likställda, återstår att se på barnen, och då är det ju alldeles naturligt, att är det små barn, så är </w:t>
      </w:r>
      <w:r>
        <w:rPr>
          <w:b/>
        </w:rPr>
        <w:t>hustrun²</w:t>
      </w:r>
      <w:r>
        <w:rPr>
          <w:b w:val="0"/>
        </w:rPr>
        <w:t xml:space="preserve"> i. allmänhet mera fallen, och är det </w:t>
      </w:r>
      <w:r>
        <w:rPr>
          <w:b/>
        </w:rPr>
        <w:t>flickor²</w:t>
      </w:r>
      <w:r>
        <w:rPr>
          <w:b w:val="0"/>
        </w:rPr>
        <w:t xml:space="preserve">, så är </w:t>
      </w:r>
      <w:r>
        <w:rPr>
          <w:b/>
        </w:rPr>
        <w:t>hon²</w:t>
      </w:r>
      <w:r>
        <w:rPr>
          <w:b w:val="0"/>
        </w:rPr>
        <w:t xml:space="preserve"> också närmare, om makarne i öfrigt äro lika fallne; skulle det vara vuxna gossar, föreställer jag mig, att mannen vore närmare. Jag har mycket svårt att uppkonstruera ett fall, då alla förhållanden beträffande makar och barn skulle vara så lika, att man behöfde hänvisa till det fall lagen förutsätter, att om båda äro lika fallne, skall mannen vara närmast. Jag har således mycket svårt att inse, hvarför en förändring skulle vara nyttig. Men jag ser, att motionen tillkommit på begäran af ett af de många </w:t>
      </w:r>
      <w:r>
        <w:rPr>
          <w:b/>
        </w:rPr>
        <w:t>fruntimmerssällskapen²</w:t>
      </w:r>
      <w:r>
        <w:rPr>
          <w:b w:val="0"/>
        </w:rPr>
        <w:t xml:space="preserve"> i Stockholm, hvilka icke kunna finna sig i, att en äfven så ringa och obetydlig förmånsrätt är i lag tillförsäkrad mannen.</w:t>
        <w:br/>
        <w:br/>
        <w:t>Om man för öfrigt skulle finna lämpligt och behöfligt att göra en förändring, vill jag påstå, att den form motionären och lagutskottet föreslagit icke är lämplig. Det står nämligen: äro de lika fallne; skilje då domaren dem emellan, efter ty som skäligt pröfvas. Domaren får således uppdraget att subjektivt, efter sitt eget omdöme, bestämma detta. Såvidt jag vet, är det icke möjligt att finna en likartad bestämmelse på något annat ställe i lagen. Lagen innehåller tvärtom tydligt stadganden därom, att alla domar</w:t>
        <w:br/>
        <w:br/>
        <w:t>skola grundas på lag och skäl. Jag tror således, att äfven om Riks- Om ändring dagen - skulle antaga ett lagförslag af - den beskaffenhet, som här 15 kap. 2 $ föreslagits, har man anledning att befara, att, då det kommer till Yfermäla högsta domstolen, denna skall göra den anmärkningen, att i lagen = (Forts. bör stå någon ledning för domaren, något som kan läggas till grund för hans pröfning, såsom barnens ålder och kön o. s. v., så att man icke alldeles lämnar pröfningen åt hans arbiträra omdöme. Och hvad blir då följden? Jo, att Kungl. Maj:t får utarbeta ett nytt förslag och framlägga det för Riksdagen! Är denna fråga verkligen af den beskaffenhet, att man bör utsätta sig för en dylik omgång? Riksdagen skrifver till Kungl. Maj:t så ofta och i så många fall, att det synes olämpligt att i en så ytterst minimal fråga som denna komma med ett lagförslag, som har de brister, jag tillåtit mig påpeka. .</w:t>
        <w:br/>
        <w:br/>
        <w:t>På dessa grunder, och då kammaren i fjor afslog en liknande framställning och inga nya skäl tillkommit sedan dess, tillåter jag mig hemställa, att kammaren måtte vidhålla sitt förra beslut och således afslå lagutskottets förslag.</w:t>
      </w:r>
    </w:p>
    <w:p>
      <w:pPr>
        <w:pStyle w:val="Heading2"/>
      </w:pPr>
      <w:r>
        <w:t>2. unknown (–, –)</w:t>
      </w:r>
    </w:p>
    <w:p>
      <w:r>
        <w:rPr>
          <w:b w:val="0"/>
        </w:rPr>
        <w:t>Det formella skäl, som, enligt hvad jag antager, bestämde åtminstone en del af denna kammares ledamöter att förra året motsätta sig en förändring, har, såsom utskottet visat, nu förfallit.</w:t>
        <w:br/>
        <w:br/>
        <w:t>Här har sagts, att en förändring skulle vara mindre nödig, enär de fall vore få, då makarne vore lika fallne att förestå boet och barnen, men jag tviflar på att det är så. Det möter nog ganska ofta svårigheter för domaren att bestämdt förklara, att den ene är därtill mera fallen än den andre, då den ene kan hafva företräde i ett hänseende, den andre i ett annat; och det blir ju alltid en mycket delikat fråga.</w:t>
        <w:br/>
        <w:br/>
        <w:t>Men är det så, att de äro därtill lika fallne, då stå ju enligt naturens ordning barnen modern närmare. Är det icke då oegentligt, att omvändt fadern skall stå barnen närmare? Skulle i sådant fall barnen själfva få välja, skulle de nog nästan undantagslöst välja modern.</w:t>
        <w:br/>
        <w:br/>
        <w:t>Då lagparagrafen talar om boet och barnen såsom en enhet, lägger den också hinder i vägen för en uppdelning af barnen, så ' att ett tillerkännes fadern och ett annat modern, allt efter ålder och kön. Jag vet visserligen, att det finnes domare, som icke tillämpa lagen så, men jag anser detta vara ett af en antikverad lagbestämmelse framkalladt kringgående af lagen.</w:t>
        <w:br/>
        <w:br/>
        <w:t>Att, såsom lagutskottets ärade ordförande här nämnt, uppräkna vissa synpunkter, som domaren skulle äga att taga hänsyn till vid sin pröfning, tror jag icke vara lämpligt, ty det skulle i alla fall icke kunna blifva annat än en uppräkning af några exempel, som nog i allmänhet ändå skulle vara själfklara.</w:t>
        <w:br/>
        <w:br/>
        <w:t xml:space="preserve">Nutidens lösen är icke ridderlighet mot </w:t>
      </w:r>
      <w:r>
        <w:rPr>
          <w:b/>
        </w:rPr>
        <w:t>kvinnan¹</w:t>
      </w:r>
      <w:r>
        <w:rPr>
          <w:b w:val="0"/>
        </w:rPr>
        <w:t xml:space="preserve">, men rättvisa mot </w:t>
      </w:r>
      <w:r>
        <w:rPr>
          <w:b/>
        </w:rPr>
        <w:t>henne²</w:t>
      </w:r>
      <w:r>
        <w:rPr>
          <w:b w:val="0"/>
        </w:rPr>
        <w:t>, och i detta fall gäller frågan rättvisa äfven mot barnen. Jag ber därför att få yrka bifall till utskottets förslag.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27</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