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931</w:t>
      </w:r>
    </w:p>
    <w:p>
      <w:r>
        <w:rPr>
          <w:b/>
        </w:rPr>
        <w:t xml:space="preserve">Datum: </w:t>
      </w:r>
      <w:r>
        <w:t>1903-03-14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Svante Natt Och Dag (Liberala samlingspartiet, man)</w:t>
      </w:r>
    </w:p>
    <w:p>
      <w:r>
        <w:rPr>
          <w:b w:val="0"/>
        </w:rPr>
        <w:t>Herr talman! Mina herrar! Med anledning af hvad en föregående ärad talare här har yttrat beträffande officerarnes pensionering vid en tidigare ålder än nu kan ske, så vill jag uti hans yttrande särskilja på den del af pensionen,</w:t>
        <w:br/>
        <w:br/>
        <w:t xml:space="preserve">som betalas af statsmedel, och den del däraf, som betalas med de ärliga insättningar, officeraren under sin tjänstetid har betalt till pensionskassan. Såsom kändt är, betalar nämligen staten icke på långt när hela pensionen, utan årliga insättningar, tvångsinsättningar, göras utaf officeren för pensionering såväl af honom själf som hans </w:t>
      </w:r>
      <w:r>
        <w:rPr>
          <w:b/>
        </w:rPr>
        <w:t>hustru²</w:t>
      </w:r>
      <w:r>
        <w:rPr>
          <w:b w:val="0"/>
        </w:rPr>
        <w:t xml:space="preserve"> och barn, ifall han skulle aflida före dem. I likhet med hvad som sker vid ett allmänt lifförsäkringsverk, där en försäkrad, om han utaf en eller annan anledning finner sig oförmögen att inbetala sina premier, kan, på grund af de inbetalda premiernas matematiska värde, utfå en fripolis, lifränta eller någonting annat, är det icke mer än rättvist, att en officer, som kanske under 20 år eller mera till pensionskassan inbetalt sina dryga afgifter får, om han utaf en eller annan orsak finner sig nödsakad</w:t>
        <w:br/>
        <w:br/>
        <w:t>att taga afsked — han kanske är så sjuk, att han icke kan tjänstgöra, men han är icke tillräckligt sjuk att begära afsked med full pension — draga sig tillbaka med den lilla pension,</w:t>
        <w:br/>
        <w:br/>
        <w:t>som, uträknad på det matematiska värdet af hans egna insättningar i kassan, kan gifvas honom.</w:t>
        <w:br/>
        <w:br/>
        <w:t>Man bör därför, som sagdt, särskilja hvad staten lämnar till pensionerna och hvad officerarne själfva lämna. Enligt min mening bör officeren kunna blifva pensionerad med den lilla summa, som kan komma honom till del på grund af matematiska värdet utaf hvad han själf har inbetalt till pensionskassan.</w:t>
        <w:br/>
        <w:br/>
        <w:t>Herr talman! Jag får yrka bifall till tredje punkten af utskottets skrifvelseförslag.</w:t>
        <w:br/>
        <w:br/>
        <w:t>Herr Olsson i Stockholm. Herr talman! Såsom den förste talaren mycket riktigt anmärkte, kan den föreliggande frågan ses från så många synpunkter och är så pass svårlöst, att det icke vore underligt, om olika meningar uppstå i den ena eller andra punkten. Jag finner detta så mycket mera förklarligt, som jag under arbetet inom utskottet med ifrågavarande motion och betänkande funnit, att det är åtskilliga punkter, i afseende å hvilka utskottets ledamöter kännt sig ganska ovissa, huru man borde ställa sig; och för egen del har jag i flera fall haft ganska svårt att afgöra, hvilken mening jag skolat biträda.</w:t>
        <w:br/>
        <w:br/>
        <w:t>Emellertid tror jag, att den förste talaren, då han riktade sina anmärkningar mot den fjärde punkten af utskottets hufvudgrunder, misstagit sig; ty hvad utskottet i denna punkt föreslagit hör säkerligen icke till det, som kammaren behöfver vara tveksam om. Hvad fjärde punkten innehåller, är ju nämligen först och främst, att nu gällande bestämmelser om befordran till major böra ställas mera i öfverensstämmelse med stadgandet i grundlagen, att endast skicklighet och förtjänst skola läggas till grund för befordran, och icke — såsom uttrycket nu lyder, — hänsyn tagas till den som är mest »passande&gt; från befälets synpunkt eller från dens synpunkt, som upprättar förslaget.</w:t>
        <w:br/>
        <w:br/>
        <w:t>Inom utskottet har med skäl ansetts, att det är 1 hög grad oriktigt, Ang. ordatt när ett förslag skall upprättas, vederbörande förslagsställare fundera för skall kunna taga hänsyn icke blott till hvad grundlagen föreskrifver” upprättande om förtjänst och skicklighet utan äfven till om personen i fråga af förslag till är ur andra synpunkter passande. Skulle man utesluta detta utnämningar fjärde moment, så borde man ju också utesluta hvad utskottet i och beformotiveringen yttrat till stöd för denna punkt och alltså taga bort RS ur utskottets betänkande den, som jag tror ingen vill bestrida, — (Forts) riktiga synpunkten, att det är af vikt, att vid befordran större = ' i öfverensstämmelse med grundlagens stadgande äger rum. Det yttrande, som den förste talaren citerade från en representant på stockholmsbänken vid förlidet års riksdag, går också ut på att betona, att det utskottsbetänkande, som då förelåg, icke tillräckligt beaktat detta grundlagens stadgande, att man borde taga hänsyn endast till förtjänst och skicklighet. Herr Hedin, som Jag förmodar talaren syftade på, motsatte sig det då föreliggande utskottsbetänkandet just därför, att det dåvarande utskottet icke tillräckligt framhållit förtjänst och skicklighet såsom afgörande vid befordringar. Den ärade talaren misstog sig således, då han trodde sig finna ett stöd för sin mening i herr Hedins yttrande.</w:t>
        <w:br/>
        <w:br/>
        <w:t>I detta fjärde moment framhålles tillika, att vid befordringar till major böra samma grundsatser göra sig gällande som vid befordringar till öfverstelöjtnant. Den förste talaren ansåg, i olikhet med utskottet, som velat i större mån göra gällande valprincipen vid befordringar till major, att man borde fasthålla vid anciennitetsprincipen. Utskottet har vid sitt förslag utgått från den synpunkten, att då det är fråga om befordran inom de lägre graderna, subalterngraderna, kan man icke gärna i hufvudsak följa annan grund än anciennitetsprincipen, därför att bland ett så stort antal, som det där är fråga om, det praktiskt taget är omöjligt att säga, hvem som har större förtjänst och skicklighet än den andre; och på grund häraf har man, i fråga om de lägre graderna, ingenting annat att göra än att hålla sig till ancienniteten. Men helt annat är förhållandet, när det blir fråga om befordran till major eller högre grader. Då är det ett mycket mindre antal personer, inom hvilket man kan välja, och då är det lättare för vederbörande förslagsställare att säga: den eller den har större förtjänst och skicklighet än de andra. När man uppgör förslag till majorsbefordran, kan och bör man således mycket väl bortse från ancienniteten, och man kommer i bättre öfverensstämmelse med grundlagen, om man vid majorsbefordran tillämpar hvad grundlagen stadgar om förtjänst och skicklighet.</w:t>
        <w:br/>
        <w:br/>
        <w:t>Jag tror således, att den förste talarens kritik gick i alldeles orätt riktning, enär hvad han yrkade kommer i strid med grundlagen och med den, åtminstone inom denna kammare af alla erkända principen, att man vid befordran bör taga hänsyn uteslutande till förtjänst och skicklighet.</w:t>
        <w:br/>
        <w:br/>
        <w:t>Hvad beträffar herr Carl Perssons i Stallerhult anmärkningar mot tredje punkten medgifver jag villigt, att den punkten med större skäl kan vara föremål för olika tankar, beroende på hvil-</w:t>
        <w:br/>
        <w:br/>
        <w:t>af förslag tillken synpunkt man tillmäter största vikten. Ty det är klart, att utnämningari frågan om denna punkt spelar in en annan faktor, nämligen</w:t>
        <w:br/>
        <w:br/>
        <w:t>kostnadsfrågan. Till kostnaden både kan och bör man taga hänsyn, och därför medger jag, att det icke är önskligt, att Riksdagen utan vidare skrifver till Kungl. Maj:t och begär en bestämmelse, som kan komma att medföra en väsentlig större kostnad för statsverket. Från denna synpunkt vill jag sålunda icke bestrida, att den ärade talarens anmärkningar kanske kunna vara i viss mån befogade. Men häremot vill jag framhålla några synpunkter, som också äro att beakta.</w:t>
        <w:br/>
        <w:br/>
        <w:t>Först och främst är här fråga om undantagsfall. Det skulle således icke ofta inträffa, att denna bestämmelse skulle komma att tillämpas. Det blefve i ytterst få fall, exempelvis, som den näst föregående talaren framhöll, vid sjukdomsfall, då sjukdomen icke vore så svår, att vederbörande officer kunde få afsked med full pension. Jag hemställer till den ärade talaren, huruvida det icke i sådana undantagsfall vore bättre, att den officer, som kanske icke kan tjänstgöra, kunde, om han ville, få afsked mot en lägre pension, så ordnad t. ex. som den siste talaren, herr Natt och Dag föreslog, i hvilket fall man således kunde få en tjänstduglig officer i stället. Ur militärisk synpunkt vore det obestridligt bestämdt att föredraga hvad utskottet föreslagit, att när en person icke kan tjänstgöra, han då får afsked; ty hvad skola vi göra med en officer, som icke kan tjänstgöra? Jag tror därför icke, då det är fråga om sådana undantagsfall, att själfva kostnadsfrågan kan spela så stor roll, som herr Persson antog. Saken kunde ju exempelvis ordnas så, som herr Natt och Dag föreslog, att vederbörande officer finge afsked med den pension, som hans egna inbetalningar till pensionskassan kunde berättiga till. I sådant fall kunde ju icke från den synpunkt, som herr Carl Persson framhöll, någon berättigad anmärkning göras mot dylik pension till en officer, som icke kan tjänstgöra.</w:t>
        <w:br/>
        <w:br/>
        <w:t>Herr Carl Persson anförde vidare, att Riksdagen i fjol afslog en liknande framställning till Kungl. Maj:t. Ja, det gjorde Riksdagen; men det var under uttryckligt framhållande — som också framgick af det citat, som herr Carl Persson uppläste — att det var af största vikt att få ett ökadt reservbefäl. Och det är ju ingenting annat, som utskottet framhållit, än att dessa i förtid pensionerade officerare skulle kunna under vissa förhållanden tjänstgöra som reservbefäl, hvarpå det finnes stor brist; och då kan det ju icke vara annat än önskligt, att dessa personer få tidigare afsked, helst om det icke komme att medföra väsentligt ökade utgifter för statskassan.</w:t>
        <w:br/>
        <w:br/>
        <w:t>Utskottet har ju för öfrigt icke föreslagit annat, än att Kungl.</w:t>
        <w:br/>
        <w:br/>
        <w:t>Maj:t skulle taga i öfvervägande dessa hufvudgrunder. Och det kan ju icke ligga någon fara i, att en undersökning göres angående möjligheten att så förfara.</w:t>
        <w:br/>
        <w:br/>
        <w:t>Riksdagen har sedermera i sin hand att afslå eller bifalla en möjligen blifvande framställning från Kungl. Maj:ts sida.</w:t>
        <w:br/>
        <w:br/>
        <w:t>Hvad beträffar herr Carlheim-Gyllenskölds yttrande, så riktade sig hans hufvudanmärkning, såvidt jag fattade honom rätt, mot utskottets resonnemang i fråga om att bibehålla det nuvarande systemet vid förflyttningar inom subalterngraden, i det nämligen herr Carlheim-Gyllensköld påpekade, att officerskåren skulle komma att bilda en särskild kast genom bibehållande af det nuvarande sättet för befordran, i det att denna icke sker inom hela vapenslaget eller inom arméfördelningen utan endast inom regementet. Detta resonnemang kan jag icke förstå. Ty jag kan icke se annat, än att utskottets motivering — jag tror på sidan 4 — är bindande och visar, att, om man befordrar officerarne inom olika regementen och således ofta flyttar dem åt olika håll, de mycket snarare komma att bilda en särskild kast eller klass, skild från det civila elementet i samhället. Då inträffar naturligtvis i de flesta fall, att en officer, som förflyttas till annan ort, där kommer att knyta mycket få bekantskaper, enär han vet, att han snart skall flytta därifrån; han sluter sig då helt naturligt företrädesvis till sina militära kamrater utan att annat än undantagsvis träda i förbindelse med det civila elementet inom samhället. Utskottet har just bland annat åsyftat, genom att tillstyrka bibehållandet af de nuvarande förhållandena vid befordringar inom subalterngraden, att officeren skulle genom att bindas längre tid vid samma samhälle komma mera i kontakt med den civila befolkningen, och att man därigenom skulle undvika, att officerarne bildade en särskild kast eller klass inom samhället. Jag tror således icke, att herr Carlheim-Gyllenskölds anmärkning mot utskottet kan vara befogad.</w:t>
        <w:br/>
        <w:br/>
        <w:t>Vidare vill jag erinra, att hvad utskottet föreslagit icke är någon nyhet, utan att utskottet tvärtom har hållit sig till det nuvarande systemet. att inom subalterngraden befordringarna skola ske regementsvis; herr Carlheim-Gyllenskölds yttrande gick däremot ut på en förändring i de bestående förhållandena, hvilken utskottet för sin del icke ansett vara af behofvet påkallad.</w:t>
        <w:br/>
        <w:br/>
        <w:t>Herr talman, på grund af hvad jag anfört och då jag tror, att utskottet gifvit goda skäl för sin ståndpunkt i dessa båda punkter, ber jag att få yrka bifall till utskottets förslag.</w:t>
      </w:r>
    </w:p>
    <w:p>
      <w:pPr>
        <w:pStyle w:val="Heading2"/>
      </w:pPr>
      <w:r>
        <w:t>2. Carl Persson (Lantmanna- och borgarepartiet inom andrakammaren, man)</w:t>
      </w:r>
    </w:p>
    <w:p>
      <w:r>
        <w:rPr>
          <w:b w:val="0"/>
        </w:rPr>
        <w:t>Herr talman! Här har anmärkts, att jag särskildt fäst mig vid en viss punkt uti detta utskottsbetänkande och påstått, att den rätteligen icke skulle höra hit, men jag vill hemställa till kammaren och särskildt till de herrar ledamöter af utskottet, som uttalat sig härom, huruvida icke detta</w:t>
        <w:br/>
        <w:br/>
        <w:t>är en fråga, som knappast hör till denna sak, utan endast är en del af den i motionen förkommande motiveringen, ty uti motionärens hemställan erinras icke det ringaste härom, utan är detta</w:t>
        <w:br/>
        <w:br/>
        <w:t>aj förslag tll något som utskottet tillagt. Visserligen har motionären uti sina</w:t>
        <w:br/>
        <w:br/>
        <w:t>motiv talat något därom, men han har ingalunda framhållit det såsom en hufvudoch principfråga, såsom utskottet synes vilja göra den till. Vid förlidet års riksdag hade motionären uppdelat sitt förslag i två särskilda motioner, af hvilka den ena, som angick pensionsoch reservbefälsfrågan, behandlades af statsutskottet, och hvad detta utskott då föreslog blef af Riksdagen godkändt. Skulle man nu följa den siste ärade talarens och äfven utskottets hemställan, så skulle Riksdagen i år komma att godkänna något som den i sin helhet i fjol ogillade, och jag hemställer till herrarne, om ett sådant tillvägagående kan vara riktigt. Huruvida det är billigt och rättvist, att en tjänsteman, som erlagt sina pensionsafgifter, erhåller pension, därom vill jag icke nu yttra mig; när frågan härom kommer att behandlas, är det ju möjligt att jag kommer att intaga samma ståndpunkt som herrarne. Något förslag i sådant afseende föreligger emellertid icke nu, ty någon motion därom är icke väckt. Här har talats om de stora pensionsafgifter, som officerarne skola erlägga, men jag undrar, om denna kammare är belåten med de ringa pensionsafgifter, som dessa tjänstemän nu erlägga. Emellertid hafva vi snart att förvänta ett förslag till förändring angående civila tjänstemän härutinnan, och vid sådant förhållande anser jag, att man kan afvakta tiden, så att man får behandla frågan i dess helhet.</w:t>
        <w:br/>
        <w:br/>
        <w:t xml:space="preserve">Under år 1901 utbetalades af statsmedel för upprätthållande af arméns pensionskassas egen pensionering och fyllnadspensioner 1,965,000 kronor och delägarnas afgifter utgjorde 187,549 kronor till deras egen pensionering, ty om bidragen till </w:t>
      </w:r>
      <w:r>
        <w:rPr>
          <w:b/>
        </w:rPr>
        <w:t>änkeoch²</w:t>
      </w:r>
      <w:r>
        <w:rPr>
          <w:b w:val="0"/>
        </w:rPr>
        <w:t xml:space="preserve"> pupillkassan vill jag nu icke yttra mig. Pensionerna under nyssnämnda år uppgingo till 677,526 kronor och fyllnadspensionerna till 1,702,317 kronor, men för åtnjutande af dessa senare pensioner erläggas ju inga afgifter.</w:t>
        <w:br/>
        <w:br/>
        <w:t>Skulle man nu utsträcka pensionsrätten, så skulle kostnaderna därigenom väsentligt ökas, och man vet ju icke ännu, huru den utsträckning, som man vid förlidet års riksdag i följd af löneförhöjningen beslöt, kommer att verka.</w:t>
        <w:br/>
        <w:br/>
        <w:t>Åtskilligt vore nog att yttra om reservbefälsinstitutionen, men jag vill icke vidare upptaga kammarens tid härmed. Då jag emellertid anser mig hafva fullt fog för mitt yrkande, vidhåller jag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