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w:t>
      </w:r>
    </w:p>
    <w:p>
      <w:r>
        <w:rPr>
          <w:b/>
        </w:rPr>
        <w:t xml:space="preserve">Datum: </w:t>
      </w:r>
      <w:r>
        <w:t>1905-02-10</w:t>
      </w:r>
    </w:p>
    <w:p>
      <w:r>
        <w:rPr>
          <w:b/>
        </w:rPr>
        <w:t xml:space="preserve">Kammare: </w:t>
      </w:r>
      <w:r>
        <w:t>Första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Hedenstierna (Första kammarens protektionistiska parti, man)</w:t>
      </w:r>
    </w:p>
    <w:p>
      <w:r>
        <w:rPr>
          <w:b w:val="0"/>
        </w:rPr>
        <w:t xml:space="preserve">Såsom af min vid lagutskottets utlåtande fogade reservation framgår, har jag icke i allo kunnat biträda Kungl. Maj:ts ifrågavarande proposition om arfsrätt för oäkta barn efter </w:t>
      </w:r>
      <w:r>
        <w:rPr>
          <w:b/>
        </w:rPr>
        <w:t>moder²</w:t>
      </w:r>
      <w:r>
        <w:rPr>
          <w:b w:val="0"/>
        </w:rPr>
        <w:t xml:space="preserve"> och mödernefränder.</w:t>
        <w:br/>
        <w:br/>
        <w:t xml:space="preserve">En rätt till arf efter </w:t>
      </w:r>
      <w:r>
        <w:rPr>
          <w:b/>
        </w:rPr>
        <w:t>moder²</w:t>
      </w:r>
      <w:r>
        <w:rPr>
          <w:b w:val="0"/>
        </w:rPr>
        <w:t xml:space="preserve"> kan jag godkänna, enär grunden för densamma är blodsbandet och den personliga skyldighet, en </w:t>
      </w:r>
      <w:r>
        <w:rPr>
          <w:b/>
        </w:rPr>
        <w:t>moder²</w:t>
      </w:r>
      <w:r>
        <w:rPr>
          <w:b w:val="0"/>
        </w:rPr>
        <w:t xml:space="preserve"> därigenom kan hafva att lika tillgodose alla sina barn, men af en sådan rätt följer ingalunda, att arfsrätten skall utsträckas äfven till »efter mödernefränder». Grunden till arf efter sådana fränder bör icke vara annan än familjerätten, och detta band kan, enligt mitt förmenande, i rättsligt hänseende icke existera i andra fall, än där detta är tillkommit i den ordning lagen bestämmer rörande äktenskap eller de därmed jämställda kvasiäktenskapen. En utsträckning af arfsrätten till efter mödernefränder skulle verka olyckligt och förryckande af hittills gällande rättsregler och kan lätt medföra konsekvenser, som på intet sätt äro önskvärda. Att vid lagstiftning låta endast känslan tala och göra intrång på i öfrigt rådande och godkända rättsprincipers område vore allt utom välbetänkt, och jag har därför icke kunnat låta denna lagstiftningsfråga passera utan att däremot göra min protest.</w:t>
        <w:br/>
        <w:br/>
        <w:t>Jag tillåter mig att yrka bifall till min reservation och att sålunda Kungl. Maj:ts proposition måtte antagas, dock med uteslutande af orden »och mödernefränder».</w:t>
      </w:r>
    </w:p>
    <w:p>
      <w:pPr>
        <w:pStyle w:val="Heading2"/>
      </w:pPr>
      <w:r>
        <w:t>2. Ossian Berger (Första kammarens moderata parti, man)</w:t>
      </w:r>
    </w:p>
    <w:p>
      <w:r>
        <w:rPr>
          <w:b w:val="0"/>
        </w:rPr>
        <w:t xml:space="preserve">Den gamla frågan om oäkta barns arfsrätt synes nu hafva kommit i det läge, att man kan våga hoppas, att frågan nu skall lösas på ett för långa tider slutgiltigt sätt. Lagutskottet har tillstyrkt bifall Kungl. Maj:ts proposition i ämnet, men tre ledamöter af utskottet hafva reserverat sig i den riktningen, att oäkta barn väl skulle få ärfva </w:t>
      </w:r>
      <w:r>
        <w:rPr>
          <w:b/>
        </w:rPr>
        <w:t>moder²</w:t>
      </w:r>
      <w:r>
        <w:rPr>
          <w:b w:val="0"/>
        </w:rPr>
        <w:t>, men ej mödernefränder.</w:t>
        <w:br/>
        <w:br/>
        <w:t>Den föregående ärade talaren sade, att han för sin del måste grunda arfsrätten på familjebegreppet. Jag kan ej erkänna riktigheten af en sådan uppfattning, utan, såvidt jag förstår, bör arfs-</w:t>
        <w:br/>
        <w:br/>
        <w:t xml:space="preserve">rätten grundas på blodsbandet, och med en sådan uppfattning måste jag finna det uppenbart, att oäkta barn böra ärfva såväl </w:t>
      </w:r>
      <w:r>
        <w:rPr>
          <w:b/>
        </w:rPr>
        <w:t>moder²</w:t>
      </w:r>
      <w:r>
        <w:rPr>
          <w:b w:val="0"/>
        </w:rPr>
        <w:t xml:space="preserve"> som mödernefränder. Det synes mig vara en naturlig sak, att oäkta barn böra hafva precis samma rätt till arf efter sina mödernefränder som äkta barn efter sina. Man får ej betrakta de oäkta barnen såsom bildande en lägre kast i samhället. De oäkta barnen äro nog i ganska många hänseenden ogynnsamt ställda; men likhet inför lagen bör tillerkännas dem så långt ske kan. Jag ber att få fästa uppmärksamheten på ett särskildt fall, i hvilket saknaden af arfsrätt efter mödernefränder för oäkta barn är synnerligen betänklig. Kan det, frågar jag, vara rimligt, att ett oäkta barn icke skall få ärfva sina oäkta syskon? Det få de oäkta barnen icke göra för närvarande, och ett så onaturligt förhållande komme att fortfara, om Riksdagen nu skulle bifalla reservanternag förslag och icke taga steget fullt ut och godkänna Kungl. Maj:ts proposition.</w:t>
        <w:br/>
        <w:br/>
        <w:t xml:space="preserve">Jag anhåller att iå erinra, att i Norge och Danmark oäkta barn äga arfsrätt efter sina mödernefränder, äfvensom att vår äldre lagberedning 1 sitt förslag till ärfdabalk tillade oäkta barn, som ej aflats under </w:t>
      </w:r>
      <w:r>
        <w:rPr>
          <w:b/>
        </w:rPr>
        <w:t>moderns²</w:t>
      </w:r>
      <w:r>
        <w:rPr>
          <w:b w:val="0"/>
        </w:rPr>
        <w:t xml:space="preserve"> äktenskap eller i förbudna led, obegränsad arfsrätt efter </w:t>
      </w:r>
      <w:r>
        <w:rPr>
          <w:b/>
        </w:rPr>
        <w:t>moder²</w:t>
      </w:r>
      <w:r>
        <w:rPr>
          <w:b w:val="0"/>
        </w:rPr>
        <w:t xml:space="preserve"> eller </w:t>
      </w:r>
      <w:r>
        <w:rPr>
          <w:b/>
        </w:rPr>
        <w:t>hennes²</w:t>
      </w:r>
      <w:r>
        <w:rPr>
          <w:b w:val="0"/>
        </w:rPr>
        <w:t xml:space="preserve"> skyldemän. Och då denna fråga senast var före i Riksdagen, d. v. s. för två år sedan, beslöt Första Kammaren med den stora majoriteten af 81 röster mot 13 att ingå till Kungl. Maj:t med en skrifvelse med anhållan, att Kungl. Maj:t täcktes låta utarbeta och för Riksdagen framlägga ett förslag till lag, som gåfve oäkta barn arfsrätt äfven efter mödernefränder. Jag tror ej, att någon anledning finnes för Första Kammaren att frångå den uppfattning, som kammaren för två år sedan med så stor majoritet biträdde.</w:t>
        <w:br/>
        <w:br/>
        <w:t xml:space="preserve">Lagutskottet erinrar i slutet af sitt utlåtande därom, att vi äga lagbestämmelser sådana som de i kungl. brefvet den 17 oktober 1778, hvilka afse att hålla hemligt, hvem som är </w:t>
      </w:r>
      <w:r>
        <w:rPr>
          <w:b/>
        </w:rPr>
        <w:t>moder²</w:t>
      </w:r>
      <w:r>
        <w:rPr>
          <w:b w:val="0"/>
        </w:rPr>
        <w:t xml:space="preserve"> till ett oäkta barn; »man torde», fortsätter utskottet, »haft anledning vänta, att Kungl. Maj:t i samband med förevarande lagförslag fogat anstalt om ändring i nämnda lagstadgande». Med anledning häraf ber jag att få nämna, att frågan, huruvida det kungl. brefvet af den 17 oktober 1778 bör bibehållas i kraft, upphåfvas eller ändras, har varit föremål för utredning inom justitiedepartementet. Men frågan är mycket svårlöst. Å ena sidan står </w:t>
      </w:r>
      <w:r>
        <w:rPr>
          <w:b/>
        </w:rPr>
        <w:t>moderns²</w:t>
      </w:r>
      <w:r>
        <w:rPr>
          <w:b w:val="0"/>
        </w:rPr>
        <w:t xml:space="preserve"> intresse att få hemligheten om moderskapet bevarad och å andra sidan det oäkta barnets intresse att få veta sin moders namn samt att få taga arf efter modern. Jag skall emellertid, såvidt på mig ankommer, söka att få den väckta frågan om 1778 års bref så snart som möjligt fullständigt utredd och pröfvad.</w:t>
        <w:br/>
        <w:br/>
        <w:t>Jag tillåter mig hemställa om bifall till Kungl. Maj:ts proposition.</w:t>
      </w:r>
    </w:p>
    <w:p>
      <w:pPr>
        <w:pStyle w:val="Heading2"/>
      </w:pPr>
      <w:r>
        <w:t>3. unknown (–, –)</w:t>
      </w:r>
    </w:p>
    <w:p>
      <w:r>
        <w:rPr>
          <w:b w:val="0"/>
        </w:rPr>
        <w:t>Då, såsom herr justitieministern nyss framhöll, denna kammare år 1903 med den stora majori-</w:t>
        <w:br/>
        <w:br/>
        <w:t xml:space="preserve">teten af 81 röster mot 18 beslöt en skrifvelse till Kungl. Maj:t med begäran om arfsrätt för oäkta barn icke blott efter </w:t>
      </w:r>
      <w:r>
        <w:rPr>
          <w:b/>
        </w:rPr>
        <w:t>moder²</w:t>
      </w:r>
      <w:r>
        <w:rPr>
          <w:b w:val="0"/>
        </w:rPr>
        <w:t xml:space="preserve"> utan äfven efter mödernefränder, hade jag tänkt mig, att lagförslaget i denna del nu icke skulle möta något allvarligt motstånd. Vi ställde oss då på deras sida, som ansågo, att oäkta barn böra tillerkännas verklig arfsrätt, och då fordrar väl konsekvensen, att denna rätt till arf bör omfatta alla dem, som på mödernesidan äro arflåtare, och detta så mycket mer som efter nu gällande lag dessa mödernefränder genom modern såsom arfledare hafva rätt till arf efter de oäkta barnen.</w:t>
        <w:br/>
        <w:br/>
        <w:t xml:space="preserve">Icke sällan möta vi ju också i lifvet förhållanden, som göra, att de nuvarande bestämmelserna i lagen verka stötande. Justitieministern har nyss framhållit ett exempel. Jag ber att få nämna ett annat, hvilket för icke så länge sedan inträffade. En </w:t>
      </w:r>
      <w:r>
        <w:rPr>
          <w:b/>
        </w:rPr>
        <w:t>änka²</w:t>
      </w:r>
      <w:r>
        <w:rPr>
          <w:b w:val="0"/>
        </w:rPr>
        <w:t xml:space="preserve"> ägde en liten fastighet och bodde där med sin </w:t>
      </w:r>
      <w:r>
        <w:rPr>
          <w:b/>
        </w:rPr>
        <w:t>dotter²</w:t>
      </w:r>
      <w:r>
        <w:rPr>
          <w:b w:val="0"/>
        </w:rPr>
        <w:t xml:space="preserve"> och dennas </w:t>
      </w:r>
      <w:r>
        <w:rPr>
          <w:b/>
        </w:rPr>
        <w:t>dotter²</w:t>
      </w:r>
      <w:r>
        <w:rPr>
          <w:b w:val="0"/>
        </w:rPr>
        <w:t xml:space="preserve">, som var oäkta. De sistnämnda bidrogo till det gemensamma boet, och det, som blef öfver af arbetsförtjänsten, lades i fastigheten för att göra densamma gravationsfri. Så dog först mellanlänken, modern till det oäkta barnet, och strax därefter mormodern. Den oäkta </w:t>
      </w:r>
      <w:r>
        <w:rPr>
          <w:b/>
        </w:rPr>
        <w:t>dotterdottern²</w:t>
      </w:r>
      <w:r>
        <w:rPr>
          <w:b w:val="0"/>
        </w:rPr>
        <w:t xml:space="preserve"> tillträdde fastigheten och den öfriga egendomen. Ingen gjorde invändning däremot; alla trodde, att det var rätt. Äfven bouppteckningsmännen upptogo den oäkta </w:t>
      </w:r>
      <w:r>
        <w:rPr>
          <w:b/>
        </w:rPr>
        <w:t>dotterdottern²</w:t>
      </w:r>
      <w:r>
        <w:rPr>
          <w:b w:val="0"/>
        </w:rPr>
        <w:t xml:space="preserve"> i bouppteckningen såsom den enda arfvingen, och först då </w:t>
      </w:r>
      <w:r>
        <w:rPr>
          <w:b/>
        </w:rPr>
        <w:t>hon²</w:t>
      </w:r>
      <w:r>
        <w:rPr>
          <w:b w:val="0"/>
        </w:rPr>
        <w:t xml:space="preserve"> skulle söka lagfart å fastigheten, fick </w:t>
      </w:r>
      <w:r>
        <w:rPr>
          <w:b/>
        </w:rPr>
        <w:t>hon²</w:t>
      </w:r>
      <w:r>
        <w:rPr>
          <w:b w:val="0"/>
        </w:rPr>
        <w:t xml:space="preserve"> klart för sig, att </w:t>
      </w:r>
      <w:r>
        <w:rPr>
          <w:b/>
        </w:rPr>
        <w:t>hon²</w:t>
      </w:r>
      <w:r>
        <w:rPr>
          <w:b w:val="0"/>
        </w:rPr>
        <w:t xml:space="preserve"> icke ägde någon som hälst rätt till egendomen, utan att denna skulle tillfalla några långt aflägsna släktingar till mormodern. Den, som då hade hand om lagfartsansökningen, frågade, om det verkligen kunde vara lag. Han fick till svar, att det var nog lag, men att det icke borde vara lag, och så vill ätven jag säga nu.</w:t>
        <w:br/>
        <w:br/>
        <w:t>Det anmärktes, då skrifvelseförslaget behandlades här i kammaren, att ett lagförslag sådant som detta borde förutsätta särskilda bevisregler angående modersskapet. Jag vill ej säga, att icke detta påstående förtjänar allt afseende, men jag tror ej, att saknaden nu af dylika särskilda bevisregler bör föranleda ett afslag på lagförslaget, i synnerhet sedan preskriptionsbestämmelsen tillsatts.</w:t>
        <w:br/>
        <w:br/>
        <w:t xml:space="preserve">Det torde väl icke ofta förekomma, att man söker bevisa ett modersskap, där ett sådanti verkligheten icke föreligger. Helt annorlunda vore det ju, ifall det gällde fadersskap. Dock vidhåller jag min redan i lagutskottet uttalade åsikt, att 1778 års bref, i hvad det angår rätt för </w:t>
      </w:r>
      <w:r>
        <w:rPr>
          <w:b/>
        </w:rPr>
        <w:t>moder²</w:t>
      </w:r>
      <w:r>
        <w:rPr>
          <w:b w:val="0"/>
        </w:rPr>
        <w:t xml:space="preserve"> att fördölja sitt modersskap, bör, om lagen antages, upphäfvas eller ändras.</w:t>
        <w:br/>
        <w:br/>
        <w:t xml:space="preserve">Till slut skulle jag vilja säga några ord angående det borttagna undantaget för de oäkta barn, som äro aflade under </w:t>
      </w:r>
      <w:r>
        <w:rPr>
          <w:b/>
        </w:rPr>
        <w:t>moderns²</w:t>
      </w:r>
      <w:r>
        <w:rPr>
          <w:b w:val="0"/>
        </w:rPr>
        <w:t xml:space="preserve"> äktenskap eller i förbudna led. Då skrifvelseförslaget behandlades, yttrade lagutskottets dåvarande högt ärade ordförande, att, om man ställde sig på den sidan, att oäkta barn borde hafva verklig arfsrätt, det vore inkonsekvent att bibehålla detta undantag, och jag gifver honom rätt däruti. Ty utgå vi från den prin-</w:t>
        <w:br/>
        <w:br/>
        <w:t>Lördagen den 11 Februari. 7 cipen, att lagstiftaren icke bör straffa barnen för föräldrarnas felsteg, lärer det icke fnnas skäl för att detta undantag skall bibehållas. Det torde väl också egentligen vara en kvarlefva från den tid, då man antog sedlighetslagarne fordra, att man icke kunde lämna någon som hälst förmån åt ett oäkta barn, en ståndpunkt, som numera lyckligtvis är öfvergifven.</w:t>
        <w:br/>
        <w:br/>
        <w:t>Låtom oss, mine herrar, tillse, att vi i en humanitär fråga af denna räckvidd icke längre må stå tillbaka för vara stamiränder norrmän, danskar och tyskar.</w:t>
        <w:br/>
        <w:br/>
        <w:t>Jag anhåller att få yrka bifall till lagutskottets hemställan.</w:t>
      </w:r>
    </w:p>
    <w:p>
      <w:pPr>
        <w:pStyle w:val="Heading2"/>
      </w:pPr>
      <w:r>
        <w:t>4. Gottfrid Billing (Första kammarens protektionistiska parti, man)</w:t>
      </w:r>
    </w:p>
    <w:p>
      <w:r>
        <w:rPr>
          <w:b w:val="0"/>
        </w:rPr>
        <w:t>Förmodligen finnes här i kammaren ingen, som haft så många anledningar som jag att arbeta för uppnåendet af det syfte, som det nu föreliggande lagförslaget afser att vinna.</w:t>
        <w:br/>
        <w:br/>
        <w:t xml:space="preserve">Vid de hundratals kyrkovisitationer, jag hållit, har jag haft till regel att alltid uppmana presterskapet att tillhålla </w:t>
      </w:r>
      <w:r>
        <w:rPr>
          <w:b/>
        </w:rPr>
        <w:t>mödrarna²</w:t>
      </w:r>
      <w:r>
        <w:rPr>
          <w:b w:val="0"/>
        </w:rPr>
        <w:t xml:space="preserve"> till oäkta barn att låta i kyrkboken göra sådan anteckning, som betryggar barnens arfsrätt.</w:t>
        <w:br/>
        <w:br/>
        <w:t>När jag nu har sagt detta, finna herrarne däraf lätt, att jag icke har något att invända emot innehållet i den lag, som här nu är föreslagen.</w:t>
        <w:br/>
        <w:br/>
        <w:t>När jag det oaktadt anser mig icke kunna yrka bifall till lagutskottets förslag, så beror detpå ett helt annat skäl, än som förut här under diskussionen vid yrkandet å annat än bifall till utskottets hemställan anförts. Jag har den tillfredsställelsen att få detsamma bestyrkt utaf lagutskottet och af den siste ärade talaren. Jag syftar på det kungl. brefvet af den 17 okt. 1773. Lagutskotte: säger i slutet af sitt betänkande: »Man torde haft anledning vänta, att Kungl. Maj:t i samband med förevarande lagförslag fogat anstalt om ändring i nämnda lagstadgande.» Ja, det hade man i sanning haft skäl att vänta; man hade haft skäl att vänta, att detta lagförslag icke skulle hafva framkommit förrän i samband med förslag om upphäfvande af åtminstone 7:de momentet i nämnda kungl. bref. Man skulle kunna hafva medhunnit att utreda denna fråga, då den legat på Kungl. Maj:ts bord ända sedan 1898 på grund af en kyrkomötets särskilda skrifvelse. Och icke blott detta, utan frågan har legat under regeringens ögon alltsedan 1392, då förslag härom framställdes af 1890 års kyrkolagskommitté.</w:t>
        <w:br/>
        <w:br/>
        <w:t>Då det kanhända här finnes ledamöter af kammaren, som icke hafva så noga reda på detta 1778 års bref och särskildt på dess T:de moment, så anser jag mig böra för dettas innehåll redogöra. Det heter: »</w:t>
      </w:r>
      <w:r>
        <w:rPr>
          <w:b/>
        </w:rPr>
        <w:t>Kvinna¹</w:t>
      </w:r>
      <w:r>
        <w:rPr>
          <w:b w:val="0"/>
        </w:rPr>
        <w:t xml:space="preserve">, som vill å okänd ort framföda foster, må i sådant uppsåt lämnas ostörd utan någons åtal eller efterfrågan om </w:t>
      </w:r>
      <w:r>
        <w:rPr>
          <w:b/>
        </w:rPr>
        <w:t>hennes²</w:t>
      </w:r>
      <w:r>
        <w:rPr>
          <w:b w:val="0"/>
        </w:rPr>
        <w:t xml:space="preserve"> person eller tillstånd.» Denna tillåtelse har blifvit reglerad genom barnmorskereglementet af den 28 november 1856, däruti det föreskrifves, att barnmorskan bör vid hemlig förlossning råda </w:t>
      </w:r>
      <w:r>
        <w:rPr>
          <w:b/>
        </w:rPr>
        <w:t>kvinnan¹</w:t>
      </w:r>
      <w:r>
        <w:rPr>
          <w:b w:val="0"/>
        </w:rPr>
        <w:t xml:space="preserve"> att uppteckna sitt namn och sitt hemvist å ett papper, som af barmorskan försegladt förelägges en präst för dopförrättningen 0. S. v. Prästen skall därefter försegla kuvertet, hvilket återlämnas</w:t>
        <w:br/>
        <w:br/>
        <w:t xml:space="preserve">till barnmorskan, och </w:t>
      </w:r>
      <w:r>
        <w:rPr>
          <w:b/>
        </w:rPr>
        <w:t>hon²</w:t>
      </w:r>
      <w:r>
        <w:rPr>
          <w:b w:val="0"/>
        </w:rPr>
        <w:t xml:space="preserve"> i sin ordning skall återlämna det till modern. Däremot gifves icke någon som helst garanti för, att barnet en gång får detta dokument i sin hand, ej heller de, som om barnets fostran skola taga hand. MHerrarne höra således, att det icke ens är föreskrifvet, att ett sådant där hemligt dokument skall finnas, utan modern bör tillrådas, heter det, att affatta ett sådant, och för öfvervakandet häraf finnes ingen annan högre auktoritet än barnmorskan. Och som sagdt, detta dokument skall sedan lämnas icke åt den, som tager hand om barnet, utan åt modern, och </w:t>
      </w:r>
      <w:r>
        <w:rPr>
          <w:b/>
        </w:rPr>
        <w:t>hon²</w:t>
      </w:r>
      <w:r>
        <w:rPr>
          <w:b w:val="0"/>
        </w:rPr>
        <w:t xml:space="preserve"> kan naturligtvis, om </w:t>
      </w:r>
      <w:r>
        <w:rPr>
          <w:b/>
        </w:rPr>
        <w:t>hon²</w:t>
      </w:r>
      <w:r>
        <w:rPr>
          <w:b w:val="0"/>
        </w:rPr>
        <w:t xml:space="preserve"> så vill, i nästa stund förstöra detta papper, eller, om </w:t>
      </w:r>
      <w:r>
        <w:rPr>
          <w:b/>
        </w:rPr>
        <w:t>hon²</w:t>
      </w:r>
      <w:r>
        <w:rPr>
          <w:b w:val="0"/>
        </w:rPr>
        <w:t xml:space="preserve"> icke gjort det, utan det ligger kvar efter </w:t>
      </w:r>
      <w:r>
        <w:rPr>
          <w:b/>
        </w:rPr>
        <w:t>hennes²</w:t>
      </w:r>
      <w:r>
        <w:rPr>
          <w:b w:val="0"/>
        </w:rPr>
        <w:t xml:space="preserve"> död, kan hvem som helst af </w:t>
      </w:r>
      <w:r>
        <w:rPr>
          <w:b/>
        </w:rPr>
        <w:t>hennes²</w:t>
      </w:r>
      <w:r>
        <w:rPr>
          <w:b w:val="0"/>
        </w:rPr>
        <w:t xml:space="preserve"> närstående helt enkelt rifva sönder papperet.</w:t>
        <w:br/>
        <w:br/>
        <w:t xml:space="preserve">När detta kungl. bref tillkom, så kunde möjligen skäl finnas för detsamma, men säkert är, att tillkomsten af detta bref är en exponent för den slapphet i sedlighetsfrågor, som vid den tiden gjorde sig gällande. Jag tror icke, att det finns någon, som skall kunna förneka, att detta är ett rent af ohyggligt bref, ty hvad innebär det? Jo, det innebär, att en hel mängd barn skola komma hit till världen och sedan lefva sitt lif utan att ens kunna få reda på, hvem deras </w:t>
      </w:r>
      <w:r>
        <w:rPr>
          <w:b/>
        </w:rPr>
        <w:t>moder²</w:t>
      </w:r>
      <w:r>
        <w:rPr>
          <w:b w:val="0"/>
        </w:rPr>
        <w:t xml:space="preserve"> är. Vi beklaga dem, som kastas ut i verlden faderlösa, och man kan knappt nog lifligt beklaga dem, men ännu mera beklagansvärda äro de, som därtill kastas ut moderlösa i världen och aldrig få veta, hvad det vill säga att hafva haft en </w:t>
      </w:r>
      <w:r>
        <w:rPr>
          <w:b/>
        </w:rPr>
        <w:t>moder²</w:t>
      </w:r>
      <w:r>
        <w:rPr>
          <w:b w:val="0"/>
        </w:rPr>
        <w:t xml:space="preserve">, ty dessa barn, som födas i hemlighet, de skiljas i de allra festa fall från modern. Vid det stora barnhuset i Stockholm kunna herrarne närmare taga reda på, hur det förhåller sig med den saken. När jag sade, att dessa barn skickas ut moderlösa i världen, så är det i själfva verket ett eufemistiskt uttryck, ty moderlösa kallar man ju dem, som hafva förlorat sin </w:t>
      </w:r>
      <w:r>
        <w:rPr>
          <w:b/>
        </w:rPr>
        <w:t>mor²</w:t>
      </w:r>
      <w:r>
        <w:rPr>
          <w:b w:val="0"/>
        </w:rPr>
        <w:t xml:space="preserve">, men som hafva kvar minnet af </w:t>
      </w:r>
      <w:r>
        <w:rPr>
          <w:b/>
        </w:rPr>
        <w:t>henne²</w:t>
      </w:r>
      <w:r>
        <w:rPr>
          <w:b w:val="0"/>
        </w:rPr>
        <w:t xml:space="preserve"> såsom sin barndoms största rikedom, men dessa stackars barn, som aldrig skola få veta, hvem deras </w:t>
      </w:r>
      <w:r>
        <w:rPr>
          <w:b/>
        </w:rPr>
        <w:t>mor²</w:t>
      </w:r>
      <w:r>
        <w:rPr>
          <w:b w:val="0"/>
        </w:rPr>
        <w:t xml:space="preserve"> är, och som dessutom under hela sitt lif bära på den ständigt naggande, plågande frågan: hvem kan månne min </w:t>
      </w:r>
      <w:r>
        <w:rPr>
          <w:b/>
        </w:rPr>
        <w:t>mor²</w:t>
      </w:r>
      <w:r>
        <w:rPr>
          <w:b w:val="0"/>
        </w:rPr>
        <w:t xml:space="preserve"> hafva varit, äro i sanning långt mera beklagansvärda. TLåtom oss tänka, hvad det vill säga att hela sitt lif bära på en sådan börda.</w:t>
        <w:br/>
        <w:br/>
        <w:t>Finnes det nu något skäl för att behålla ett sådant bref? Finnes det något skäl för att behålla ett sådant bref en enda dag längre?</w:t>
        <w:br/>
        <w:br/>
        <w:t>Jag vågar påstå, att det icke finns något sådant skäl. Ja, jag vet nog, att det kan anföras allehanda skäl för brefvets bibehållande, men det finns, enligt min mening, dock icke något skäl, som i någon mån kan mäta sig i vikt med de grunder, som anföras för upphäfvandet af detsamma.</w:t>
        <w:br/>
        <w:br/>
        <w:t>Nu har af 1890 års kyrkolagskommitté yrkats, att åtminstone 7:de momentet af detta kungl. bref skulle upphäfvas, och 1898 års kyrkomöte har ingått till Kungl. Maj:t med begäran om upphäfvande af nämnda moment. Jag upprepar, att dessa sju år borde kunnat vara tillräckliga för att få detta moment borttaget och för att, om</w:t>
        <w:br/>
        <w:br/>
        <w:t xml:space="preserve">nu ytterligare utredning anses behöflig, få denna utredning verkställd. Jag må vidare säga, att det förekommer mig, som om det numera icke blott vore i hög grad önskvärdt, utan att det rent af är nödvändigt, att detta bref upphäfves, såvida det lagförslag, som nu här föreligger, skall blifva lag. Om man icke upphäfver 7:de momentet af 1778 års bref, har man med detsamma gjort denna lag fullkomligt illusorisk i så godt som alla de fall, hvarom jag talat. Denna lag afser ju att betrygga oäkta barns arfsrätt efter </w:t>
      </w:r>
      <w:r>
        <w:rPr>
          <w:b/>
        </w:rPr>
        <w:t>moder²</w:t>
      </w:r>
      <w:r>
        <w:rPr>
          <w:b w:val="0"/>
        </w:rPr>
        <w:t xml:space="preserve"> och mödernefränder, men så länge dessa barn skickas uti världen, utan att det finnes möjlighet för dem att bevisa, hvilken deras </w:t>
      </w:r>
      <w:r>
        <w:rPr>
          <w:b/>
        </w:rPr>
        <w:t>moder²</w:t>
      </w:r>
      <w:r>
        <w:rPr>
          <w:b w:val="0"/>
        </w:rPr>
        <w:t xml:space="preserve"> varit, så kan denna lag icke blifva för dem tillämplig.</w:t>
        <w:br/>
        <w:br/>
        <w:t>Vill man således ärligt och verkligen bereda de oäkta barnen arfsrätt, så måste man också upphäfva 1778 års kungl. bref, och förrän detta bref blifvit upphäfdt, anser jag icke, att en sådan lag som denna bör antagas.</w:t>
        <w:br/>
        <w:br/>
        <w:t>Detta nu sedt från barnens berättigade anspråk. Men det är lika nödvändigt, synes det mig, att i sammanhang med denna lag upphäfva 1773 års bref med hänsyn till deras trygghet, som skola ärfvas. Det är tydligt, att man för att få ärfva skall bevisa sin släktskap.</w:t>
        <w:br/>
        <w:br/>
        <w:t>Hittills har släktskap, d. v. s. det förhållandet, att man är barn till viss person, 1 allmänhet styrkts genom anteckning i kyrkboken, och detta är väl också det enda naturliga bevisningssättet. Om nu en hel mängd barn skulle kunna komma och Säga: »vi äro släkt med den och den», fast det icke finns något vitsord därom i kyrkboken, öppnar man fältet för alla dessa insinuationer, trakasserier och penningutpressningar etc., som man har fruktat skola bli följden af en lag sådan som den här föreslagna. Om däremot hemliga födslar icke kunna förekomma, utan hvarje barn skall antecknas i kyrkboken vid sin moders namn, då blir bevisningen om släktskapen för de oäkta barnen densamma som för de äkta och vägen i allmänhet stängd för trakasserier, insinuationer och utpressningar 0. 8. V.</w:t>
        <w:br/>
        <w:br/>
        <w:t xml:space="preserve">Det förekommer mig, som om det vore alldeles tydligt, att denna lag icke kan och icke bör träda 1 tillämpning, förrän det har blifvit bestämdt, att där icke få finnas barn, som icke kunna begagna sig af lagen, därför att det är medgifvet för deras </w:t>
      </w:r>
      <w:r>
        <w:rPr>
          <w:b/>
        </w:rPr>
        <w:t>mödrar²</w:t>
      </w:r>
      <w:r>
        <w:rPr>
          <w:b w:val="0"/>
        </w:rPr>
        <w:t xml:space="preserve"> att göra det så godt som alldeles omöjligt för barnen att kunna bevisa sin släktskap. Om bevisningen angående släktskap blefve den, som hittills varit den efter regel gällande, nämligen kyrkbokens vitsord, då vore saken klar och enkel och då vore också farhågorna för en sådan lag som denna undanröjda.</w:t>
        <w:br/>
        <w:br/>
        <w:t>Då jag nu har denna uppfattning, och då jag önskar, att de oäkta barnen skola få den föreslagna arfsrätten, så har jag varit tveksam om, till hvilket slutyrkande jag skulle komma, Jag skulle helst velat föreslå en ändring 1 ingressen, så att där skulle stå icke blott: &gt;»med upphäfvande af förordningen af den 14 april 1866»,</w:t>
        <w:br/>
        <w:br/>
        <w:t>utan äfven »med upphäfvande af 7:de momentet i kungl. brefvet af</w:t>
        <w:br/>
        <w:br/>
        <w:t>den 11 okt. 1778». I valet emellan att yrka detta eller afslag vet jag icke, hvilket</w:t>
        <w:br/>
        <w:br/>
        <w:t>jag helst bör göra; jag tror dock, att det är ingen risk att yrka afslag, ty af ett afslag bör icke blifva någon annan påföljd, än att tågordningen vid utredningen angående upphäfvandet af 1778 års bref ökas.</w:t>
        <w:br/>
        <w:br/>
        <w:t>Lagförslaget bör då kunna komma tillbaka nästa år, och på ett sådant uppskof bör ingen förlora något. Att återigen här sätta in i ingressen upphäfvandet af 7:de momentet i 1778 års bref vågar jag kanske icke, när herr justitieministern ju sagt, att ytterligare utredning är erforderlig, Därför får jag väl stanna vid att yrka afslag, hvilket — jag upprepar det — icke har den betydelsen, att jag icke önskar framgång åt det föreliggande lagförslaget, utan att jag vill påskynda den kungl. tågordningen med afseende å utredningen angående 1778 års bref.</w:t>
        <w:br/>
        <w:br/>
        <w:t>På grund häraf, och då, som sagdt, ingen som helst risk är förbunden därmed, att denna lagfråga ännu ettår får vänta på sin lösning, ber jag att få yrka afslag på lagutskottets hemställan.</w:t>
      </w:r>
    </w:p>
    <w:p>
      <w:pPr>
        <w:pStyle w:val="Heading2"/>
      </w:pPr>
      <w:r>
        <w:t>5. Ossian Berger (Första kammarens moderata parti, man)</w:t>
      </w:r>
    </w:p>
    <w:p>
      <w:r>
        <w:rPr>
          <w:b w:val="0"/>
        </w:rPr>
        <w:t>Jag ber att med anledning af herr Billings anförande få yttra några ord.</w:t>
        <w:br/>
        <w:br/>
        <w:t>Han menade, att denna lag icke borde antagas eller träda i kraft, förrän man kommit därhän, att efter upphätvande af 1718 års bref alla barn blifvit antecknade i kyrkboken, så att man hade fullständig och klar bevisning om deras arfsrätt. Denna fordran innebär 1 själfva verket, att denna lag borde antagas först om några årtionden, då ju ifrågavarande anteckningar 1 kyrkboken endast kunna komma att afse de ännu ofödda släktena och ej den generation af oäkta barn, som nu finnes. Då arfsrätt enligt herr Billings mening skulle grundas enbart på anteckning i kyrkboken, skulle sålunda den nu lefvande generationen af oäkta barn fortfarande blifva utan arfsrätt.</w:t>
        <w:br/>
        <w:br/>
        <w:t xml:space="preserve">De framtida anteckningarna i kyrkboken blifva för öfrigt aldrig fullständiga. Man får lof att komma ihåg, att äfven om 1778 års bref upphäfves, blir det naturligtvis så, att många </w:t>
      </w:r>
      <w:r>
        <w:rPr>
          <w:b/>
        </w:rPr>
        <w:t>mödrar²</w:t>
      </w:r>
      <w:r>
        <w:rPr>
          <w:b w:val="0"/>
        </w:rPr>
        <w:t xml:space="preserve"> föda barn under falskt namn, och att många </w:t>
      </w:r>
      <w:r>
        <w:rPr>
          <w:b/>
        </w:rPr>
        <w:t>mödrar²</w:t>
      </w:r>
      <w:r>
        <w:rPr>
          <w:b w:val="0"/>
        </w:rPr>
        <w:t>, såsom hittils skett, antingen utom lands eller här i landet föda barn utan att för någon uppgifva sitt namn. Skall man då förmena dessa barn, som sålunda icke komma in uti kyrkboken, arfsrätt?</w:t>
        <w:br/>
        <w:br/>
        <w:t>På grund af hvad jag anfört, tror jag, att det icke är ett så intimt samband mellan 1778 års bref och den nu ifrågavarande lagen, som herr Billing velat göra gällande.</w:t>
      </w:r>
    </w:p>
    <w:p>
      <w:pPr>
        <w:pStyle w:val="Heading2"/>
      </w:pPr>
      <w:r>
        <w:t>6. Ivar Afzelius (Första kammarens minoritetsparti, man)</w:t>
      </w:r>
    </w:p>
    <w:p>
      <w:r>
        <w:rPr>
          <w:b w:val="0"/>
        </w:rPr>
        <w:t>Jag hade knappast tänkt, att jag skulle komma att yttra mig här i dag. Herrarne känna fullständigt mina tankar i denna fråga, sedan den förekom här för två år sedan.</w:t>
        <w:br/>
        <w:br/>
        <w:t>Det råder ju ingen tvist om själfva principen. Alla, äfven talaren på västmanlandsbänken, erkänna det berättigade i denna arfsrätt. Men man sätter i fråga att begränsa den. När frågan sist här var före, yttrade jag — jag har protokollet här i min hand — att jag för min del skulle kunnat stanna vid att nu gifva</w:t>
        <w:br/>
        <w:br/>
        <w:t xml:space="preserve">de oäkta barnen rätt till arf efter </w:t>
      </w:r>
      <w:r>
        <w:rPr>
          <w:b/>
        </w:rPr>
        <w:t>moder²</w:t>
      </w:r>
      <w:r>
        <w:rPr>
          <w:b w:val="0"/>
        </w:rPr>
        <w:t xml:space="preserve">, icke efter mödernefränder. Jag sade då, att det för mig framstod som nödvändigt, framförallt på ett sådant område som detta, att förfara med den största försiktighet, och att man icke borde gå längre, än att de åtgärder, man vidtoge, uppbures af en allmän rättsuppiattning; men jag erkände på samma gång, att det i och för sig var fullt rättvist och befogadt, att likaväl som modern är arflåtare </w:t>
      </w:r>
      <w:r>
        <w:rPr>
          <w:b/>
        </w:rPr>
        <w:t>hon²</w:t>
      </w:r>
      <w:r>
        <w:rPr>
          <w:b w:val="0"/>
        </w:rPr>
        <w:t xml:space="preserve"> äfven bör vara arfledare, att likaväl som nu mödernefränder taga arf efter barnen, böra barnen taga arf efter mödernetränder.</w:t>
        <w:br/>
        <w:br/>
        <w:t xml:space="preserve">Denna kammare och jämväl Riksdagen har redan en gång förut godkänt ett lagutskottets yttrande, som gick ut på, att barnet skulle hafva arfsrätt icke blott efter </w:t>
      </w:r>
      <w:r>
        <w:rPr>
          <w:b/>
        </w:rPr>
        <w:t>moder²</w:t>
      </w:r>
      <w:r>
        <w:rPr>
          <w:b w:val="0"/>
        </w:rPr>
        <w:t>, utan också efter mödernefränder. Jag tror icke, att kammaren nu bör frångå denna ståndpunkt och pruta på detta, som skall gifvas. Och jag kan därför nu icke ansluta mig till det af reservanterna, herr Hedenstierna m. f., gjorda yrkandet.</w:t>
        <w:br/>
        <w:br/>
        <w:t>Kommer jag så till herr Billings yttrande, så får jag säga, att detta hos mig anslog en sträng, som lifligt vibrerar. Jag kan också därvidlag åberopa, hvad jag yttrade vid 1993 års riksdag, nämligen att man, om man erkänner denna arfsrätt efter modern, gifvetvis icke längre kan lämna 1778 års kungl. bref orubbadt och tillåta modern att alldeles förhemliga sitt modersskap. Det var därför också med en viss misstämning jag mötte denna kungl. proposition; jag ansåg, att frågan i det hela taget icke blifvit ställd på det bredare plan, där jag gärna velat se den.</w:t>
        <w:br/>
        <w:br/>
        <w:t>Det är alldeles riktigt, som herr Billing säger, att det är en motsägelse uti detta, att, när man tillerkänner barnet arfsrätt efter modern, man samtidigt tillerkänner modern rätt att beröfva barnet denna arfsrätt genom att förhemliga modersskapet. Jag delar fullkomligt hans känslor med afseende å detta kungl. bref.</w:t>
        <w:br/>
        <w:br/>
        <w:t>Men då jag hade att afgöra, huru jag borde ställa mig till förslaget, kom jag emellertid till det resultat, att jag icke kunde eller borde motsätta mig förslaget. Lifligt behjärtar jag visserligen de synpunkter, som göra det angeläget att i ett fall som detta hafva att tillgå en bevisning, som väl icke utesluter annan bevisning, men dock gifver en säker hållpunkt.</w:t>
        <w:br/>
        <w:br/>
        <w:t>Den verkan, tillvaron af 1778 års bref kan medföra i afseende på möjligheten af trakasserier, tillmäter jag emellertid icke samma betydelse som den föregående talaren.</w:t>
        <w:br/>
        <w:br/>
        <w:t>Hvad som däremot för mig varit af särskild vikt vid denna frågas bedömande är, att lagstiftningen på detta sätt komme att innehålla en antinomi, då nämnda bref icke är annat än en motsägelse mot hvad nu skulle stadgas. Men då här för mig främst saken ställer sig icke som en teoretisk, icke som en rent principiell fråga, utan som en praktisk fråga, så har jag stannat vid att biträda förslaget. Jag kan ju icke tänka mig annat, än att efter lagutskottets yttrande i motiveringen, efter den öfverläggning, som här i dag har ägt rum, ännu mera än förr 1773 års bref måste anses utdömdt.</w:t>
        <w:br/>
        <w:br/>
        <w:t>Herr justitieministern har ju också här förklarat, att frågan om nämnda brefs upphäfvande kommer att omedelbart göras till föremål för utredning. Hvad för öfrigt beträffar barnmorskereglementet, som herr Billing citerade, så är det ju en författning, som hvilken stund som helst bör kunna ändras. |</w:t>
        <w:br/>
        <w:br/>
        <w:t>Jag anser således, att denna sak icke behöfver utgöra något hinder för att en reform vidtages, som enligt mitt förmenande innebär endast den enklaste rättvisa. Visserligen bereda vi nu icke de oäkta barnen full rättvisa, det göra vi icke, men det är dock bättre att göra dem någon rättvisa än att icke göra dem rättvisa alls; och därför, herr talman, tänker jag för min del rösta för lagutskottets hemställan.</w:t>
      </w:r>
    </w:p>
    <w:p>
      <w:pPr>
        <w:pStyle w:val="Heading2"/>
      </w:pPr>
      <w:r>
        <w:t>7. Per Sörensson (–, man)</w:t>
      </w:r>
    </w:p>
    <w:p>
      <w:r>
        <w:rPr>
          <w:b w:val="0"/>
        </w:rPr>
        <w:t>AÅAfven jag ämnar rösta bifall till detta förslag, och jag gör det med fullaste öfvertygelse, men jag gör det också endast i den förhoppning, att så snart som möjligt ändring må ske 1 1778 års kungl. bref, ty det kan icke kvarstå, om denna lag antages. Jag har dessutom en liten anmärkning att göra, nämligen att jag anser önskvärdt, att man underlättar bevisningen i fråga om hvem modern är.</w:t>
        <w:br/>
        <w:br/>
        <w:t xml:space="preserve">Herr Billing sade nyss, att han vid visitationerna plägade ålägga prästerna att taga reda på </w:t>
      </w:r>
      <w:r>
        <w:rPr>
          <w:b/>
        </w:rPr>
        <w:t>mödrarna²</w:t>
      </w:r>
      <w:r>
        <w:rPr>
          <w:b w:val="0"/>
        </w:rPr>
        <w:t xml:space="preserve"> och låta dem anteckna sig som </w:t>
      </w:r>
      <w:r>
        <w:rPr>
          <w:b/>
        </w:rPr>
        <w:t>mödrar²</w:t>
      </w:r>
      <w:r>
        <w:rPr>
          <w:b w:val="0"/>
        </w:rPr>
        <w:t xml:space="preserve">. Detta är nog godt och väl, men </w:t>
      </w:r>
      <w:r>
        <w:rPr>
          <w:b/>
        </w:rPr>
        <w:t>mödrarna²</w:t>
      </w:r>
      <w:r>
        <w:rPr>
          <w:b w:val="0"/>
        </w:rPr>
        <w:t xml:space="preserve"> äro rädda, man får nästan aldrig fatt i dem, och för närvarande går det så till, att, då en sådan stackars </w:t>
      </w:r>
      <w:r>
        <w:rPr>
          <w:b/>
        </w:rPr>
        <w:t>kvinna¹</w:t>
      </w:r>
      <w:r>
        <w:rPr>
          <w:b w:val="0"/>
        </w:rPr>
        <w:t xml:space="preserve"> har födt ett barn, någon barmhärtig människa hjälper </w:t>
      </w:r>
      <w:r>
        <w:rPr>
          <w:b/>
        </w:rPr>
        <w:t>henne²</w:t>
      </w:r>
      <w:r>
        <w:rPr>
          <w:b w:val="0"/>
        </w:rPr>
        <w:t xml:space="preserve"> och går till prästen och anmäler det. Jag säger då till denna </w:t>
      </w:r>
      <w:r>
        <w:rPr>
          <w:b/>
        </w:rPr>
        <w:t>kvinna¹</w:t>
      </w:r>
      <w:r>
        <w:rPr>
          <w:b w:val="0"/>
        </w:rPr>
        <w:t xml:space="preserve">: uppmana modern, då </w:t>
      </w:r>
      <w:r>
        <w:rPr>
          <w:b/>
        </w:rPr>
        <w:t>hon²</w:t>
      </w:r>
      <w:r>
        <w:rPr>
          <w:b w:val="0"/>
        </w:rPr>
        <w:t xml:space="preserve"> blir frisk, att låta anteckna sig såsom </w:t>
      </w:r>
      <w:r>
        <w:rPr>
          <w:b/>
        </w:rPr>
        <w:t>moder²</w:t>
      </w:r>
      <w:r>
        <w:rPr>
          <w:b w:val="0"/>
        </w:rPr>
        <w:t xml:space="preserve"> till barnet. Ja, denna anmaning framföres nog i allmänhet, men modern kommer aldrig, och därtill kunna många förhållanden vara vållande. MHärvidlag kunde man dock lätt råda bot på administrativ väg, ifall kungl. maj:t ville ålägga prästerna att i hvarje sådant fall från modern infordra skriftlig uppgift enligt ett af kungl. maj:t fastställdt formulär, som kunde lämnas till den, som anmälde barnet, att öfverbringas till modern jämte en anmaning att anteckna sitt namn för att bevara sitt barns arfsrätt. Detta vore en enkel åtgärd, som utan tvifvel skulle bidraga 1 ganska väsentlig mån till att underlätta bevisningen med afseende å modersskapet till oäkta barn.</w:t>
        <w:br/>
        <w:br/>
        <w:t>Jag skall icke yttra mig vidare, utan tager mig friheten att yrka bifall till lagutskottets förslag.</w:t>
      </w:r>
    </w:p>
    <w:p>
      <w:pPr>
        <w:pStyle w:val="Heading2"/>
      </w:pPr>
      <w:r>
        <w:t>8. Gottfrid Billing (Första kammarens protektionistiska parti, man)</w:t>
      </w:r>
    </w:p>
    <w:p>
      <w:r>
        <w:rPr>
          <w:b w:val="0"/>
        </w:rPr>
        <w:t>Jag kan icke underlåta att med ett par ord besvara, hvad herr justitieministern nyss yttrade till svar å mitt första anförande. Hans argumentation kunde haft någon kraft, om den hade vänt sig emot hvad jag hade sagt, men då han nu vände sig emot något, som jag icke sagt, så synes det mig, som om den icke har någon vidare vikt. Herr justitieministern ansåg sig kunna tillbakavisa min argumentation mycket lätt, ty han oppo-</w:t>
        <w:br/>
        <w:br/>
        <w:t>nerade emot mitt yttrande, som om jag hade påyrkat, att anteckning i kyrkboken skulle vara det enda bevismedlet. Detta har jag emellertid aldrig yrkat. Mitt yrkande afsåg upphäfvandet af i778 års bref, men det innebär icke, att kyrkboksanteckningen skullé vara det enda bevisningsmedlet. Hvad jag i det hänseendet nämnde, var något som herr justitieministern omöjligen kan förneka, nämligen att, om det blefve, såsom jag föreslagit, kyrkbokens vittnesbörd 1 de allra flesta fall skulle blifva det afgörande beviset för släktskap. När jag nu icke har sagt och icke har yttrat, att kyrkboksanteckningen skall vara det enda bevisningsmedlet, så förfaller tydligen herr statsrådets argument, att genom ett bifall till mitt förslag alla de före lagens tillkomst i hemlighet födda barnen skulle ställas utanför arfsrätten. Det är ju tydligt, att de hittills födda oäkta barnen därigenom skulle komma i samma situation som genom ett bifall till det kungl. förslaget, men alla härefter födda barn skulle komma i en vida bättre situation. Mitt förslag tager ingentiug ifrån de hittills i hemlighet födda barnen, men gifver åt dem, som härefter födas, klart, redigt och bestämdt den rätt, som det kungl. förslaget säger sig vilja bereda barnen.</w:t>
        <w:br/>
        <w:br/>
        <w:t xml:space="preserve">Det andra skälet, som herr statsrådet anförde emot mig, var, att genom ett bifall till hvad jag yrkat, man 1 alla fall icke skulle kunna undvika, att en hel del </w:t>
      </w:r>
      <w:r>
        <w:rPr>
          <w:b/>
        </w:rPr>
        <w:t>mödrar²</w:t>
      </w:r>
      <w:r>
        <w:rPr>
          <w:b w:val="0"/>
        </w:rPr>
        <w:t xml:space="preserve"> föda barn under falskt namn, och dessa barn skulle komma i samma situation som de stackars barn, som nu äro 1 hemlighet födda. Nej, ingen människa kan alldeles förhindra förfalskningar, men det är dock en väsentlig skillnad, om den ohyggliga anordning, som nu gäller, hädanefter kommer att hvila endast på enskilda människors åtgöranden och förfalskningar, eller om ohyggligheten fortfarande skall hvila på ett kungl. bref.</w:t>
        <w:br/>
        <w:br/>
        <w:t>En sak är, om lagen tillåter det, och en annan är, om människor trots all lag begå brott.</w:t>
        <w:br/>
        <w:br/>
        <w:t>Herr Afzelius medgaf riktigheten ati hvad jag sagt därom, att antagandet af denna lag med nödvändighet skulle kräfva en förändring al 1773 års bref och han har sagt så också förut. När nu hvarken från utskottets eller statsrådets eller herr Afzelii sida förnekats, att min argumentation är riktig, då jag sagt, att 1778 års bref måste upphäfvas, för att denna lag skall kunna få full kraft, så hemställer jag till herrarne, om det icke är skäl att kräfva upphäfvandet af 1773 års bref på samma gång, som lagen antages.</w:t>
        <w:br/>
        <w:br/>
        <w:t>Jag har redan förut nämnt orsaken, hvarför jag lägger vikt på, att detta sker, innan lagen antages, nämligen att jag fruktar, att upphäfvande ar 17738 års bref eljest kan komma att undanskjutas. Frågan har nu, som jag nyss nämnde, hvilat på bordet i tretton år med alla sina talande skäl utan att hafva blifvit beaktad.</w:t>
        <w:br/>
        <w:br/>
        <w:t>Jag vidhåller mitt yrkande om afslag.</w:t>
      </w:r>
    </w:p>
    <w:p>
      <w:pPr>
        <w:pStyle w:val="Heading2"/>
      </w:pPr>
      <w:r>
        <w:t>9. Raoul Hamilton (Frisinnade folkpartiet, man)</w:t>
      </w:r>
    </w:p>
    <w:p>
      <w:r>
        <w:rPr>
          <w:b w:val="0"/>
        </w:rPr>
        <w:t>Blott ett par ord! Sedan den åsikt, som förr gjorde sig gällande, att det vore omoraliskt, som det hette,</w:t>
        <w:br/>
        <w:br/>
        <w:t xml:space="preserve">låta de oäkta barnen få ärfva, att arf vore en familjerätt och att de oskyldiga barnen skulle straffas för </w:t>
      </w:r>
      <w:r>
        <w:rPr>
          <w:b/>
        </w:rPr>
        <w:t>moderns²</w:t>
      </w:r>
      <w:r>
        <w:rPr>
          <w:b w:val="0"/>
        </w:rPr>
        <w:t xml:space="preserve"> felsteg, är numera dess bättre öfvervunnen, och man är beredd att gifva rättvisa åt dessa oäkta barn, söker man stjälpa förslaget på formella skäl.</w:t>
        <w:br/>
        <w:br/>
        <w:t xml:space="preserve">Jag delar visserligen fullkomligt den uppfattning, som herr Billing har uttalat, därom, att 1778 års kungl. bref bör upphäfvas, ty det är en skamfläck att hafva ett sådant stadgande, hvilket rent af underlättar osedligheten. Dock kan jag icke finna, att detta kungl. bref bör kunna hindra Riksdagen att antaga det nu föreliggande lagförslaget, Herr Billing säger, att lagen då icke skulle kunna tillämpas. Jo, mine herrar, lagen kan åtminstone tillämpas i de allra flesta fall, och det vore väl orättvist, då vi nu alla hafva klart för oss, att oäkta barn böra ärfva sin </w:t>
      </w:r>
      <w:r>
        <w:rPr>
          <w:b/>
        </w:rPr>
        <w:t>moder²</w:t>
      </w:r>
      <w:r>
        <w:rPr>
          <w:b w:val="0"/>
        </w:rPr>
        <w:t xml:space="preserve">, om också blott under ytterligare ett enda år så ej skulle kunna ske. Om, såsom herr Billing önskar, frågan uppskjutes ett år, skulle det kunna inträffa, att barn, hvars </w:t>
      </w:r>
      <w:r>
        <w:rPr>
          <w:b/>
        </w:rPr>
        <w:t>moder²</w:t>
      </w:r>
      <w:r>
        <w:rPr>
          <w:b w:val="0"/>
        </w:rPr>
        <w:t xml:space="preserve"> dog under detta år, icke skulle få ärfva, och detta vore ju icke rättvist. Utaf denna anledning ber jag, herr talman, att få yrka bifall till lagutskottets förslag.</w:t>
        <w:br/>
        <w:br/>
        <w:t>hörer och särskild sockenstufva, prästgård samt tingshus och häradsfängelse.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