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62</w:t>
      </w:r>
    </w:p>
    <w:p>
      <w:r>
        <w:rPr>
          <w:b/>
        </w:rPr>
        <w:t xml:space="preserve">Datum: </w:t>
      </w:r>
      <w:r>
        <w:t>1906-03-03</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Liedberg (–, man)</w:t>
      </w:r>
    </w:p>
    <w:p>
      <w:r>
        <w:rPr>
          <w:b w:val="0"/>
        </w:rPr>
        <w:t>Enligt min åsikt bör man icke allenast se denna sak från helt och hållet juridisk synpunkt, utan man bör se den äfven med andra ögon. Ingen kan bestrida, att icke ganska många fideikommiss finnas, både stora och små, där ställningen är sådan, att fideikommissinnehafvarna fylla sin plats och kunna fullgöra de förpliktelser, som jag tror vidlåda dem. Men vi hafva också andra fideikommiss, där ställningen blifvit sådan, att innehafvarna arbeta under ganska svåra omständigheter. Jag vill endast draga fram några exempel, som jag tror kunna vara ganska belysande för denna sak, huru förhållandena kunna vara. Vi tänka oss ett fideikommiss, som är så högt intecknadt, att det icke vidare tillåtes någon inteckning i detsamma. Någon vidare anskaffning af medel från fideikommissinnehafvarens sida är svår att åstadkomma på den grund, att han icke har någon realsäkerhet att ställa. Vi antaga, att en arrendator kommer till en sådan fideikommissinnehafvare och anhåller att få vissa grundförbättringar gjorda. Han förklarar uttryckligen därvid, att om han icke får dessa förbättringar, kan han icke sköta egendomen så, som han vill och bör göra. Då svarar fideikommissinnehafvaren honom: med största nöje skulle jag göra det, men jag saknar medel och tillgångar därtill och kan icke åstadkomma hvad ni</w:t>
        <w:br/>
        <w:br/>
        <w:t>önskar. Däraf följer, att arrendatorn helt naturligt säger: jag kan icke göra någonting heller, då jag icke har rättighet att sitta längre än under fideikommissinnehafvarens lifstid. Sedan får det gå så godt det kan, men till hvilken nytta för landet är icke</w:t>
        <w:br/>
        <w:br/>
        <w:t>fast egendom. svårt att räkna ut. (Forts.)</w:t>
        <w:br/>
        <w:br/>
        <w:t xml:space="preserve">Vi taga ett annat exempel, där fideikommissinnehafvaren icke har några manliga arfvingar utan endast </w:t>
      </w:r>
      <w:r>
        <w:rPr>
          <w:b/>
        </w:rPr>
        <w:t>kvinnliga¹</w:t>
      </w:r>
      <w:r>
        <w:rPr>
          <w:b w:val="0"/>
        </w:rPr>
        <w:t>, d. v. s. fideikommissrätten följer endast den manliga linjen, eller också ett sådant fideikommiss, där innehafvaren saknar arfvingar. Hvad följer däraf? Jo, innehafvaren söker att under den tid han innehar fideikommisset draga så mycken nytta som möjligt däraf, så att efterträdaren får skada däraf. Det händer mången gång. Jag frågar, om icke här föreligger en nationalekonomisk förlust? Jag tror, att ingen skall kunna bestrida det. Men huru hafva nu dessa fideikommissarier kommit i denna ställning? Jag tror, att staten bidragit därtill. Det har talats om att man skall icke kränka död mans vilja. Det är riktigt. Men hvad gjorde staten år 1810, då den beviljade rätt till inteckning af fideikommissen? Jag tror, att där blef rättskränkningen först begången. Där hafva vi enligt mitt förmenande grundstenen till att vissa fideikommissinnehafvare kommit i den ställning, de nu äro uti. Då staten har varit med om att bevilja intecknandet, anser jag det också vara statens skyldighet att på något sätt ställa så, att dessa innehafvare kunna komma ur sin ganska kritiska ställning. Jag vill visst icke vara med om ett förslag, som afsåge fideikommissinstitutionens fullständiga upphäfvande, men jag vill gärna vara med om ett förslag, hvarigenom den enskilda fideikommissinnehafvaren kunde hafva utsikt att komma ur den beklagliga ställning, hvari han en gång kommit. För öfrigt ber jag att få helt och hållet instämma med den andre talarens i dag uttalande och yrkar således bifall till herr Afzelii förslag.</w:t>
      </w:r>
    </w:p>
    <w:p>
      <w:pPr>
        <w:pStyle w:val="Heading2"/>
      </w:pPr>
      <w:r>
        <w:t>2. Carl Nordenfalk (–, man)</w:t>
      </w:r>
    </w:p>
    <w:p>
      <w:r>
        <w:rPr>
          <w:b w:val="0"/>
        </w:rPr>
        <w:t>Det kan synas vara nästan oartigt mot kammaren att förlänga diskussionen, men jag ber att med förbigående af flera anmärkningar, som jag skulle vilja från min ståndpunkt framställa mot en del yttranden, som fällts under öfverläggningens lopp, få göra några anmärkningar mot utskottets uppfattning i en enda punkt.</w:t>
        <w:br/>
        <w:br/>
        <w:t>Sedan utskottet i sin motivering tyckt sig kommit till rätta med fideikommissen, har det kommit att tänka på fideikommissskogarne, hvilka naturligtvis skulle gå förlorade, om fideikommissen förklarades såsom sådana skola upphöra och egendomen delas mellan arfvingarne. Med berömvärd opartiskhet framhåller utskottet dessa skogars betydelse och säger till och med, att »i vissa delar af vårt land, exempelvis Skåne, fideikommisskogarna egentligen vore de enda skogar af någon betydelse som funnes, och att det vid sådant förhållande vore tydligt, att för dessa</w:t>
        <w:br/>
        <w:br/>
        <w:t>landsdelar fideikommisskogarnas oförminskade bibehållande och Om upp: rationella vård vore af den största betydelse». Ja, man är nästan höj oande af benägen att tro, då man läser utskottets kraftiga uttalande i detta jesarn. afseende, att utskottet varit af den åsikt att en skrifvelse aldrig stiftelser i borde komma till stånd, om icke skogarna kunde räddas. Detta/fast egendom. är det första officiella erkännande jag sett af att fideikommissen = (Forts.) dock kunna hafva någon uppgift att fylla. Visserligen är, med den rättsståndpunkt på hvilken jag står, frågan om skogarna i mina ögon en sekundär fråga, men i alla fall af tillräcklig vikt för att böra uppmärksammas. Huru tror man att utskottet reder sig i denna dilemma mellan å ena sidan önskan att upphäfva fideikommissen och å andra sidan insikten om angelägenheten att rädda skogarna? Jo, det föreslår, att processen med fideikommissen skulle sluta på det sätt, att den odlade jorden skulle utdelas mellan arfvingarna och att domaren själf — här staten — toge skogen i sin vård. Men verkställigheten? Jag kan mycket väl förstå, att man, så länge fideikommissen bestå, försöker vända sig till herrar fideikommissinnehafvare och, under framhållande af det skydd, de hafva för sin besittningsrätt från statens sida, hemställer, om det ej vore billigt och lämpligt, att staten toge öfverinseende och vård om skogen. Därmed kunde man kanske komma någon väg. Men att, på samma gång man vill tillintetgöra fideikommissen, göra framställning till fideikommissarierna om deras medverkan därtill, att kronan toge deras skog under vård, det förmodar jag de endast skulle höja på axlarna åt. Ar åter meningen att gå till alla dem, som komme i besittning af egendomen, — hvilken då kommit ifrån fideikommissinnehafvarne, med deras prekära ställning med ett blottadt svärd öfver sina hufvuden, under ständigt hot att låta det falla, till dem som befinna sig i den fasta ställningen af en vanlig svensk hemmansägare, från hvilken man icke tager någon egendom — skulle nog svaret på framställningen blifva ett enstämmigt: nej tack, min egendom sköter jag själf! Redan på grund af denna passus i utskottets betänkande, däri tillrådes att »påbjuda», att skogsmark tages från enskilda och lägges under kronans vård, skulle jag, äfven om allt hvad betänkandet i öfrigt innehåller förbises, nödgas yrka afslag på skrifvelseförslaget, ty det går här ändå icke an eller kan vara Riksdagen värdigt att göra till Kungl. Maj:t en antydan, som, om Kungl. Maj:t därpå droge växel genom proposition till Riksdagen för att åstadkomma ett dylikt påbud, helt säkert skulle afböjas af såväl Första som Andra Kammaren. Jag yrkar naturligtvis afslag på skrifvelseförslaget, men jag lägger till, att hade utskottet gått praktiskt till väga, hade det bort verka för afslag å frågan denna gång och sökt påskynda skogarnas Ööfvergång till vård af kronan, medan egendomen stode</w:t>
        <w:br/>
        <w:br/>
        <w:t>under fideikommissrätt, och först sedan skogarna sålunda kommit under kronans förvaltning försökt få fideikommissnaturen upphäfd. Kanske man anmärker, att ett sådant handlingssätt icke varit delikat; men om delikatess är öfver hufvud taget icke fråga i denna angelägenhet.</w:t>
      </w:r>
    </w:p>
    <w:p>
      <w:pPr>
        <w:pStyle w:val="Heading2"/>
      </w:pPr>
      <w:r>
        <w:t>3. Pontus Fahlbeck (–, man)</w:t>
      </w:r>
    </w:p>
    <w:p>
      <w:r>
        <w:rPr>
          <w:b w:val="0"/>
        </w:rPr>
        <w:t>Jag har varit föremål för en efter vanligheten välvillig uppmärksamhet från talaren på dalabänken. Jag hade svårt att följa med hans logiska evolutioner, men jag skall försöka bemöta några af hans sakliga påståenden, såvidt jag rätt fattade hvad han sade.</w:t>
        <w:br/>
        <w:br/>
        <w:t xml:space="preserve">Han talade först om att släktens utdöende icke skulle betyda något, ty släkten funnes lika bra på den </w:t>
      </w:r>
      <w:r>
        <w:rPr>
          <w:b/>
        </w:rPr>
        <w:t>kvinnliga¹</w:t>
      </w:r>
      <w:r>
        <w:rPr>
          <w:b w:val="0"/>
        </w:rPr>
        <w:t xml:space="preserve"> som på den manliga sidan. Jag undrar, om de, som stiftade fideikommissen, tänkt sig saken på det sättet; det allmänna historiska begreppet af släkt är, att den fortgår på manssidan allenast men icke på den </w:t>
      </w:r>
      <w:r>
        <w:rPr>
          <w:b/>
        </w:rPr>
        <w:t>kvinnliga¹</w:t>
      </w:r>
      <w:r>
        <w:rPr>
          <w:b w:val="0"/>
        </w:rPr>
        <w:t xml:space="preserve">. Vidare är det just då fideikommissen öfvergå till ättlingar på </w:t>
      </w:r>
      <w:r>
        <w:rPr>
          <w:b/>
        </w:rPr>
        <w:t>kvinnosidan¹</w:t>
      </w:r>
      <w:r>
        <w:rPr>
          <w:b w:val="0"/>
        </w:rPr>
        <w:t xml:space="preserve">, som de blifva föremål för vanskötsel. Gå de från far till son, skötas de vanligen väl, men när de öfvergå till </w:t>
      </w:r>
      <w:r>
        <w:rPr>
          <w:b/>
        </w:rPr>
        <w:t>kvinnolinjen¹</w:t>
      </w:r>
      <w:r>
        <w:rPr>
          <w:b w:val="0"/>
        </w:rPr>
        <w:t xml:space="preserve"> och annan släkt, så utsättas de i de flesta fall för vanvård. Denna betydelse har alltså släktens utdöende härvidlag.</w:t>
        <w:br/>
        <w:br/>
        <w:t>Jag bryr mig icke om, såsom talaren vidare apostroferade, huruvida fideikommissinstitutionen är gammal eller ung, men jag vill emot en föregående talare påpeka, att densamma icke har djupa rötter i vår historia, utan att den importerats till vårt land och är af ganska sent datum, något som icke är utan betydelse för omdömet om densamma.</w:t>
        <w:br/>
        <w:br/>
        <w:t>Talaren sade vidare, att inteckningsrätten icke kunde vara till skada för fideikommissen lika litet som för den öfriga svenska jorden, och att liksom denna bestode trots inteckning, borde äfven fideikommissen göra det. Nej, det är just det, som icke är fallet. Öfrig jord kan intecknas och öfvergå från den ene till den andre utan att förlora sin natur, men så är icke förhållandet med ett fideikommiss — det borde icke vara för talaren obekant — ty om det intecknas och går till exekutiv försäljning, så förlorar det sin natur.</w:t>
        <w:br/>
        <w:br/>
        <w:t>Slutligen yttrade han något om, att det vore bäst att låta en fideikommissinnehafvare förvalta sin egendom så som han funne för godt; vore han en stackare, så finge han så förblifva och sitta kvar såsom förvaltare af egendomen; det vore ingenting att göra vid den saken. Det är mycket riktigt, från formellt juridisk synpunkt sedt; en stackare måste förblifva en stackare, men från allmän nationalekonomisk synpunkt gäller, att egendom bör handhafvas af den, som bäst förstår att sköta densamma, och icke af stackare.</w:t>
        <w:br/>
        <w:br/>
        <w:t>tilleriet, därest de öfverginge till marinläkarekåren, finge för rätt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