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63</w:t>
      </w:r>
    </w:p>
    <w:p>
      <w:r>
        <w:rPr>
          <w:b/>
        </w:rPr>
        <w:t xml:space="preserve">Datum: </w:t>
      </w:r>
      <w:r>
        <w:t>1906-03-20</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Cornelius Sjöcrona (Första kammarens protektionistiska parti, man)</w:t>
      </w:r>
    </w:p>
    <w:p>
      <w:r>
        <w:rPr>
          <w:b w:val="0"/>
        </w:rPr>
        <w:t>Såsom kammarens ledamöter behagade finna af det nu föredragna betänkandet, har jag icke kunnat instämma uti den hemställan, som utskottet gör uti den första nu föredragna punkten. Jag tager för gifvet, att kammarens ledamöter känna till de bestäm-</w:t>
        <w:br/>
        <w:br/>
        <w:t>melser, som gälla angående rösträtt vid prästval, men för bättre minnes skull kan jag i största korthet redogöra för förhållandena.</w:t>
        <w:br/>
        <w:br/>
        <w:t>Enligt $ 26 i 1883 års lag om prästval skola vid prästval tilllämpas samma grunder, som gälla för rösträtt vid kyrkostämma. Således desamma, som gälla vid kommunalstämma, men med den inskränkning beträffande församling å landet, att för andra beskattningsföremål än jordbruksfastighet får ingen rösta för mer än en femtedel af sitt fyrktal och att för jordbruksfastighet får ingen rösta för mer än en femtedel af hela röstetalet och för andra beskattningsföremål icke för mer än en femtiondedel af det hela. Om således en femtedel af en persons röstetal för andra beskattningsföremål än jordbruksfastighet skulle uppgå till mera än en femtiondedel af församlingens hela röstetal, så får han dock icke rösta för mer än en femtiondedel.</w:t>
        <w:br/>
        <w:br/>
        <w:t>Dessa inskränkningar hafva i viss mån ytterligare inskränkts genom 1894 års lag angående inskränkning i kommunala rösträtten, hvilken äfven gäller för rösträtt till kyrkostämma. Detta kan emellertid ännu slå så ut, att vid prästval en person, som röstar för jordbruksfastighet, kan få många hundra röster, kanske tusen, och för andra beskattningsföremål kan man också möjligen komma upp till ett par hundra röster, medan däremot vid ett sådant val det finnes många, som icke hafva mer än 1 å 2 röster. För min del har jag för ett par år sedan själf deltagit 1 ett val af präst i den församling, jag tillhör. Jag hade då icke mindre än 194 röster, trots dessa begränsningar. Det synes väl ännu vara väl mycket vid ett sådant val som detta, där väl ändå det personliga borde göra sig gällande. Denna åsikt omfattades också af kyrkolagsutskottet vid sista kyrkomötet. För att icke det yrkande, som jag kommer att framställa, må stå utan motivering, skall jag bedja att få uppläsa, hvad kyrkolagsutskottet då yttrade.</w:t>
        <w:br/>
        <w:br/>
        <w:t>Efter att hafva lämnat en redogörelse för de rösträttsbestämmelser, som jag nu redogjort för, säger utskottet: »Eburu rösträtten vid prästval alltså redan genom 1883 års förordning varit ganska starkt begränsad och för icke lång tid sedan underkastats en betydlig, ytterligare inskränkning, synes det dock utskottet icke böra förnekas, att den äfven 1 utskottets tanke mycket beaktansvärda personlighetsprincipen fortfarande är i vissa afseenden väl mycket tillbakasatt, och vill utskottet härvid särskildt erinra om det inflytande, som bolag kunna utöfva vid prästval. Till följd af bolags natur står det i afgjord strid mot nämnda princip, att desamma hafva sig tillerkänd rösträtt vid prästval efter samma grunder som fysiska personer.</w:t>
        <w:br/>
        <w:br/>
        <w:t>Ett fullständigt öfvergifvande af den grundsatsen, att rösträtten står i ett visst beroende af förmögenhetsförhållandena, kan dock utskottet icke tillstyrka. Oafsedt, att sådant skulle innebära ett bestämdt afsteg från den historiska utvecklingen, skulle man bland annat därigenom gå miste om den trygghet för tillgodoseendet af alla de olika sidorna i den prästerliga verksamheten, hvilken ligger i de förmögnare elementens infiytande. Förutom fallenheten för predikoämbetet, om hvilken profpredikningarna äro afsedda att bereda allmänheten kännedom, är det nämligen af vikt, att en sökande äger förutsättningar att fylla de administrativa och kommunala åligganden, som tillkomma statskyrkans prästerskap, och ofta torde den stora allmänheten</w:t>
        <w:br/>
        <w:br/>
        <w:t>icke vara vidare intresserad af sökandens kvalifikationer i denna del eller kunna förskaffa sig tillräckligt noggrann kännedom om desamma.»</w:t>
        <w:br/>
        <w:br/>
        <w:t xml:space="preserve">Hvad kyrkolagsutskottet här uttalat vidhåller jag, som då var ledamot af detta utskott, fortfarande, och ber att få säga, att detta kyrkolagsutskottets uttalande icke mötte någon gensaga egentligen vid kyrkomötet, men kyrkolagsutskottet måste afstyrka bifall till motionen, därför att motionären hade föreslagit en förändring, som var alldeles omöjlig att genomföra. Exempelvis skulle man få rösta för sina barn också, så att om ett </w:t>
      </w:r>
      <w:r>
        <w:rPr>
          <w:b/>
        </w:rPr>
        <w:t>fruntimmer²</w:t>
      </w:r>
      <w:r>
        <w:rPr>
          <w:b w:val="0"/>
        </w:rPr>
        <w:t xml:space="preserve"> hade 2 oäkta barn, så skulle </w:t>
      </w:r>
      <w:r>
        <w:rPr>
          <w:b/>
        </w:rPr>
        <w:t>hon²</w:t>
      </w:r>
      <w:r>
        <w:rPr>
          <w:b w:val="0"/>
        </w:rPr>
        <w:t xml:space="preserve"> hafva tre röster, men en man, som skattade för ganska betydligt inom kommunen och hade den bästa förmågan att bedöma de sökande prästernas lämplighet, skulle icke hafva mer än en röst, såvida han icke hade hemmavarande barn. Det kunde naturligtvis kvarken kyrkolagsutskottet eller kyrkomötet vara med om. Därför bifölls kyrkolagsutskottets hemställan, att motionen icke skulle föranleda till någon åtgärd, men det gjordes icke någon egentlig gensaga mot den af mig upplästa motiveringen.</w:t>
        <w:br/>
        <w:br/>
        <w:t>Jag skall icke vidare upptaga kammarens tid, utan endast, på grund af hvad jag sagt, tillåta mig hemställa, att Riksdagen må i skrifvelse till Kungl. Maj:t anhålla, det täcktes Kungl. Maj:t taga i öfvervärgande, huruvida icke nu stadgade rösträtt vid prästval bör, särskildt i fråga om bolag, ytterligare begränsas, samt därefter för Riksdagen framlägga förslag till lämplig befunnen lagändring i nämnda syfte.</w:t>
        <w:br/>
        <w:br/>
        <w:t>Jag tillåter mig, herr talman, att framställa yrkande om bifall till denna hemställan. |</w:t>
      </w:r>
    </w:p>
    <w:p>
      <w:pPr>
        <w:pStyle w:val="Heading2"/>
      </w:pPr>
      <w:r>
        <w:t>2. Pontus Fahlbeck (–, man)</w:t>
      </w:r>
    </w:p>
    <w:p>
      <w:r>
        <w:rPr>
          <w:b w:val="0"/>
        </w:rPr>
        <w:t>Som jag deltagit i detta ärendes behandling i lagutskottet och därvid ställt mig på majoritetens sida, skall jag be att med några ord få motivera detta.</w:t>
        <w:br/>
        <w:br/>
        <w:t>Den graderade rösträtten har sin stora betydelse däruti, att den på rättvist sätt afmäter skyldigheter och makten att bestämma öfver dessa skyldigheter. Det är den graderade rösträttens raison d'étre, att icke de, som ingenting betala till kommunens angelägenheter, eller åtminstone obetydligt, skola kunna bestämma öfver de utgifter, som kommunen besluter. Denna princip har sålunda sitt fulla berättigande i alla frågor, som röra det ekonomiska. Men lämna vi dessa, och alldeles särskildt om det blir fråga om val af själasörjare, så synes den icke längre kunna åberopas. Det är alldeles uppenbart, att för den fattige likaväl som för den rike är intresset att få en god själasörjare lika stort. Behofvet af en sådan är lika viktigt för den ene som för den andre. Därför synes det mig, att på denna punkt den graderade rösträtten är mindre på sin plats än i fråga om något annat. Jag anser, att den, som är vän af den graderade rösträttsskalan och som anser, att den måste ovillkorligen upprätthållas på de områden, dit den hör, han bör vara med om att taga bort den i sådana fall, då den icke är på sin plats.</w:t>
        <w:br/>
        <w:br/>
        <w:t>: Endast därigenom afvärjas de anfall, som kunna göras mot densamma. Ty sammanhanget mellan rösträttsskalan och rätten att bestämma öfver skatterna är uppenbart. Men vill man upprätthålla den vid prästval, så blir positionen mycket svag. Dess tillämpning i detta</w:t>
        <w:br/>
        <w:br/>
        <w:t>fall måste naturligtvis medföra en kritik på hela den graderade rösträtten, hvilken möjligen kan draga med sig konsekvenser, som vore högst beklagliga. Därför, mina herrar, bör man undantaga prästval från den graderade rösträtten och ställa det under den allmänna valrättens princip.</w:t>
        <w:br/>
        <w:br/>
        <w:t>Hvad man för öfrigt anfört emot detta förslag, är, efter kyrkomötets uttalande att döma, ingenting annat, än att innehafvarne af de högre röstetalen skulle vara bättre i stånd att bedöma en prästmans förmåga att sköta kommunala angelägenheter, med ett ord att tillgodose den administrativa sidan af prästerskapets uppgift. Detta är emellertid ett mycket svagt skäl för afstyrkande, ty den allmänna regeln e majori parte fit denominatio gäller äfven här. Prästens hufvudsakliga uppgift är att vara själasörjare. Därtill kommer uppgiften att vara administrativ ämbetsman 1 åtskilliga fall, något, som kan i och för sig vara en ganska viktig sak, men som jämfördt med prästens kall som själasörjare, sjunker den ned till ett jämförelsevis ringa ting.</w:t>
        <w:br/>
        <w:br/>
        <w:t xml:space="preserve">Vidare kan invändas — fastän det icke utsagts här — att det vore en viss fara uti att låta samtliga män och </w:t>
      </w:r>
      <w:r>
        <w:rPr>
          <w:b/>
        </w:rPr>
        <w:t>kvinnor¹</w:t>
      </w:r>
      <w:r>
        <w:rPr>
          <w:b w:val="0"/>
        </w:rPr>
        <w:t xml:space="preserve"> deltaga i prästval — för min del anser jag nämligen, att i detta fall </w:t>
      </w:r>
      <w:r>
        <w:rPr>
          <w:b/>
        </w:rPr>
        <w:t>kvinnorna¹</w:t>
      </w:r>
      <w:r>
        <w:rPr>
          <w:b w:val="0"/>
        </w:rPr>
        <w:t xml:space="preserve"> böra</w:t>
        <w:br/>
        <w:br/>
        <w:t xml:space="preserve">hafva samma rösträtt som männen. Ja, en del af dem har det ju nu, jag vet det, men på grund af nuvarande skatteförhållanden är likväl flertalet </w:t>
      </w:r>
      <w:r>
        <w:rPr>
          <w:b/>
        </w:rPr>
        <w:t>kvinnor¹</w:t>
      </w:r>
      <w:r>
        <w:rPr>
          <w:b w:val="0"/>
        </w:rPr>
        <w:t xml:space="preserve"> uteslutet därifrån. Men icke bör den allmänna och lika rösträtten innebära någon fara för att man därigenom skulle få ovärdiga eller dåliga präster. Vi skola komma ihåg, att församlingen icke får taga, hvem den vill, utan att det alltid finnes högre myndigheter, som i sista hand bestämma i denna fråga, Kungl. Maj:t för de regala och domkapitlen för de konsistoriella gällen. Man behöfver således icke befara att få några ovärdiga personer till prästämbetet, ty kandidaterna blifva underkastade sofring och granskning. För öfrigt menar jag, att prästbildningen i vårt land är sådan, att redan den innebär en trygghet för att öfvervägande godt och dugligt folk kommer till prästämbetet. På nu anförda skäl ligger det, såvidt jag kan se, icke alls någon fara uti att medgifva allmän rösträtt vid dylika val.</w:t>
        <w:br/>
        <w:br/>
        <w:t>Slutligen kan jag icke heller finna annat, än att det skulle för kyrkan själf vara till stor vinst att få denna ändring genomförd. Det onda, hvaraf i vår tid statskyrkan dess värre lider, är framför allt de separatistiska rörelser, som gifva sig till känna litet hvarstädes. En anledning till dessa torde otvifvelaktigt vara, att menige man hafva så ytterst litet inflytande på prästvalen inom statskyrkan. Om de litet hvar kunde göra sig mera gällande vid dessa val, skulle helt visst intresset för statskyrkan i många kretsar, där det nu är ringa, ökas, och det skulle linda det kyrkliga lifvet och statskyrkan till fromma i stället för motsatsen. I det stadssamhälle, där allmän rösträtt är införd vid prästval, nämligen Göteborg, råder, som vi veta, ett mycket lifligt religiöst intresse, och man kan sålunda där få stöd för att en sådan. ordning som den här föreslagna skulle gagna vår kyrka i stället för att skada den.</w:t>
        <w:br/>
        <w:br/>
        <w:t>Af dessa skäl ber jag att få yrka bifall till utskottets hemställan.</w:t>
      </w:r>
    </w:p>
    <w:p>
      <w:pPr>
        <w:pStyle w:val="Heading2"/>
      </w:pPr>
      <w:r>
        <w:t>3. Gottfrid Billing (Första kammarens protektionistiska parti, man)</w:t>
      </w:r>
    </w:p>
    <w:p>
      <w:r>
        <w:rPr>
          <w:b w:val="0"/>
        </w:rPr>
        <w:t>Om man, af hvad han nu sade, skulle sluta sig</w:t>
        <w:br/>
        <w:br/>
        <w:t>rösträtt vid till den siste talarens innersta mening, så skulle det hufvudsakliga</w:t>
        <w:br/>
        <w:br/>
        <w:t>skälet för honom att yrka bifall till lagutskottets hemställan vara det, att man genom att bifalla detta förslag skulle erhålla en starkare position gentemot försöken att göra inskränkningar i den graderade röstskalan uti kommunala angelägenheter i allmänhet. Han sade, att detta var hans hufvudsakliga skäl. Jag hemställer emellertid till honom och till herrarne i allmänhet, om det kan vara riktigt att för ett så främmande ändamål tillgripa ett dylikt medel.</w:t>
        <w:br/>
        <w:br/>
        <w:t xml:space="preserve">Hans andra skäl var, att alla medlemmar af församlingen hafva lika behof af en god själasörjare. Mot detta har jag naturligtvis ingenting att invända, men däremot kan jag göra den invändningen, att äfven om alla hafva lika behof därvidlag, så följer icke däraf, att alla hafva lika god förmåga att bedöma, hvilken af de föreslagna prästerna är den bäste. Och om jag till och med skulle gå så långt som att säga, att alla hafva lika förmåga i detta hänseende, då jag naturligtvis icke vill säga, att förmågan alltid växer i proportion med skatteplikten, så hafva dock icke alla lika stor frihet att använda denna sin förmåga. Ty det veta vi ju, att så snart det är fråga om val, är det också strax fråga om minskning i friheten, ett våld på friheten i många fall. Hvar förrättas nu något val med fall frihet, det frågar jag. Men i samma mån som en människa har starkare ekonomisk position, i samma mån har man också anledning att antaga, att </w:t>
      </w:r>
      <w:r>
        <w:rPr>
          <w:b/>
        </w:rPr>
        <w:t>hon²</w:t>
      </w:r>
      <w:r>
        <w:rPr>
          <w:b w:val="0"/>
        </w:rPr>
        <w:t xml:space="preserve"> har större frihet och själfständighet att sätta emot bearbetningarna; och den, som känner till hvilka bearbetningar, som förekomma vid prästval både från det ena och det andra hållet, kan omöjligen bortse från den fara, som ligger däri, att, om alla hade lika rösträtt, det visst icke skulle blifva en samling fria, själfständigt tänkande personligheter, som skulle göra sin röst gällande, utan ett dylikt prästval skulle snarare påminna om, hvad man nu ofta talar om, val, till hvilka en mängd af valboskap drifves.</w:t>
        <w:br/>
        <w:br/>
        <w:t>Vidare sade den siste talaren som ett tredje skäl, att det är ingen fara att lämna en dylik rösträtt åt församlingens alla medlemmar, därför att deras val är tämligen kontrolleradt och kringgärdadt däraf, att andra myndigheter också hafva att göra med utnämningen af präster. Ja, med de garantierna är det icke mycket bevändt. Visserligen upprättar domkapitlet förslag efter förtjänst och skicklighet, men vi veta också, att församlingarna hafva rätt att kalla profpredikant utom detta förslag och att de då visst icke tänka på, hvilka meriter en präst i andra fall kan äga, utan blott ledas af den tillfälliga bekantskap, som de gjort med den eller den enskilde prästen.</w:t>
        <w:br/>
        <w:br/>
        <w:t>Slutligen sade talaren, att kyrkan skulle göra en vinst på en sådan ändring som den här föreslagna. Hans bevisning i detta hänseende var emellertid så svag, att jag nästan icke bryr mig om att taga upp den. Men eftersom han framdrog synpunkten om kyrkans vinst, kan jag icke underlåta att begagna detta tillfälle för att framhålla en annan sida af saken, där tal kan vara om, att kyrkan verkligen skulle göra en vinst. Här är ju fråga om en förändring — och jag ber herrarne vara goda att gifva akt därpå — en förändring icke närmast af församlingarnas rösträtt, utan af en lag, som gäller</w:t>
        <w:br/>
        <w:br/>
        <w:t>det prästerliga befordringsväsendet. Hvarpå skulle kyrkan göra en Om lika vinst, för så vidt det beror på denna lag? Jo, kyrkan och folket skulle rösträtt vid göra en vinning, i samma mån som befordringslagen hulpe till att Pröstoal. skaffa oss goda, karaktärsfasta och dugliga präster. Detta synes mig (Forts. böra vara den egentliga synpunkten, då det talas om behofvet af förändringar i den prästerliga befordringslagen. Då frågar jag: hvad borde göras 1 sådant syfte? Jo, mina herrar, om vi hafva intresse för den saken — och ett sådant intresse skulle jag oändligt gärna vilja väcka hos herrarne allesammans — då gäller det för oss icke att ändra blott den bestämmelse, som här är fråga om, utan att taga hela den prästerliga befordringsordningen under ompröfning och däri göra åtskilliga ändringar. Ty sannerligen vårt svenska prästerskap blir bättre genom att göras än mer beroende af valnycker, än det nu är. Nej, skall man här önska något, är det att få bestämmelser, hvilka såvidt möjligt bevara oss från dåliga präster och i stället skaffa oss goda sådana. Det hänger icke enbart och icke heller hufvudsakligen på befordringslagen, hurudana prästerna blifva, men den har dock sitt inflytande därvidlag; och sådan den nu är, är den sannerligen icke ägnad att uppfostra vårt prästerskap i god riktning. Hvad skulle en annan ämbetsmannakår 1 vårt land säga, om den för sin befordran vore underkastad samma villkor som det svenska prästerskapet? Det skulle på andra håll betraktas som ett våld, som en odräglig börda, som lades på kåren. Grundlagen säger, att Sveriges ämbetsmän skola befordras efter förtjänst och skicklighet. Den paragrafen tillämpas icke i fråga om det svenska prästerskapet, ty detta befordras hufvudsakligen efter utfallet af val, vid hvilka mycket ofta nycker äro bestämmande och ofta det, som är ännu sämre. Försöken, mina herrar, att sätta eder in i en svensk prästs befordringsmöjligheter. Han kan hafva alla goda meriter — icke blott pappersmeriter — han kan hafva troget och allvarligt arbetat i församlingens tjänst under många år, han kan i alla afseenden vara bättre rustad att sköta en församling än många andra, men han har händelsevis icke tjänstgjort i den församling, där ledigheten är, och dit kallas då i stället en ung prästman, som kanske icke har tiondedelen af den förres tjänstetid, och han får rösterna och utnämnes också, åtminstone i nittio fall af hundra. Jag tror för min del, att om svenska prästerskapet gäller detsamma som om hvilken ämbetsmannakår som belst, nämligen, att såvida befordringsordningen skall hafva något inflytande i fråga om att skaffa goda ämbetsmän, så skola därvid förtjänst och skicklighet vara bestämmande, ty en uppfostran i god riktning kan blott komma i fråga i samma mån, som rättvisan verkligen är bestämmande vid befordringarna. Men det kan väl ingen säga, att rättvisan skulle bättre garanteras genom en sådan utsträckning af rösträtten, som här föreslagits. Man skulle snarare kunna säga, att rättvisan skulle befordras, om inga val alls eller ingen som helst rösträtt vid prästval förekomme. För min del vill jag dock icke vara med om en sådan förändring, som skulle betyda ett fullständigt afbrott i vår svenska kyrkas utvecklingshistoria och som förvisso våra svenska församlingar aldrig skulle gå in på. Men då man icke vill detta, så skall man åtminstone icke öka lockelserna och möjligheterna att göra svårigheterna större, utan man</w:t>
        <w:br/>
        <w:br/>
        <w:t>orter) Jag vill be herrarne — jag upprepar det — att tänka på prä-</w:t>
        <w:br/>
        <w:br/>
        <w:t>sternas ställning, då det gäller deras befordran, huru de skickas om-</w:t>
        <w:br/>
        <w:br/>
        <w:t>kring för att hålla profpredikningar och få underkasta sig val. Huru</w:t>
        <w:br/>
        <w:br/>
        <w:t>skulle det kännas för enhvar af oss, om han skulle vara nödsakad</w:t>
        <w:br/>
        <w:br/>
        <w:t>att så där resa omkring och aflägga prof; tänk sedan, hvad det vill</w:t>
        <w:br/>
        <w:br/>
        <w:t>säga att blifva föremål för alla dessa valagitationer — ty de prästval</w:t>
        <w:br/>
        <w:br/>
        <w:t>äro mycket få, där det icke förekommer ledsamma valhistorier. Huru</w:t>
        <w:br/>
        <w:br/>
        <w:t>mycket det ljugits på präster i tider af prästval, det veta herrarne</w:t>
        <w:br/>
        <w:br/>
        <w:t>icke; jag har följt denna sak i fera tiotal år, och jag vet, att af</w:t>
        <w:br/>
        <w:br/>
        <w:t>agitatorer så mycket ondt med osanning blifvit sagdt mot präster för</w:t>
        <w:br/>
        <w:br/>
        <w:t>att hindra deras val, att det är rent af hårresande. Nej, mina herrar,</w:t>
        <w:br/>
        <w:br/>
        <w:t>låtom oss icke utan i samband med andra förändringar i befordrings-</w:t>
        <w:br/>
        <w:br/>
        <w:t>lagen utvidga rösträtten så, som här föreslås, ty därigenom ökas valens</w:t>
        <w:br/>
        <w:br/>
        <w:t>betänkligheter! För min del anser jag däremot, att skäl kan finnas</w:t>
        <w:br/>
        <w:br/>
        <w:t>mer än hittills, och det har också det senaste kyrkomötet varit med</w:t>
        <w:br/>
        <w:br/>
        <w:t>om. Detta är också den meningen, som frambäres i herr Sjöcronas</w:t>
        <w:br/>
        <w:br/>
        <w:t>reservation. Jag ber därför att få yrka bifall till herr Sjöcronas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