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1012</w:t>
      </w:r>
    </w:p>
    <w:p>
      <w:r>
        <w:rPr>
          <w:b/>
        </w:rPr>
        <w:t xml:space="preserve">Datum: </w:t>
      </w:r>
      <w:r>
        <w:t>1906-05-01</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Hugo Segerdahl (Liberala samlingspartiet, man)</w:t>
      </w:r>
    </w:p>
    <w:p>
      <w:r>
        <w:rPr>
          <w:b w:val="0"/>
        </w:rPr>
        <w:t>Herr talman! Den ene af motionärerna, som påyrkat en allmän revision af konkurslagen, har i sin motivering framhållit, att det önskemål, han ville vinna, knappast torde kunna uppnås på de partiella reformernas väg, utan att det erfordrades en genomgående omgestaltning af själfva grundprinciperna för konkursväsendet. Lagutskottet har icke kunnat ansluta sig till denna motionärens uppfattning, utan har såsom sin mening framhållit, att tillräckliga anledningar och förutsättningar saknas för att nu söka genomföra en mera fullständig omskapning af vårt konkursförfarande genom att i väsentliga delar bygga det på nya grunder. Jag delar denna utskottets uppfattning. Jag tror icke, att konkurslagen är så dålig, som det från vissa håll framhållits; jag tror tvärtom, att den verkar ganska bra, när bestämmelserna i densamma med nödig kraft upprätthållas. Göra alla vederbörande, det vill säga rätten och domaren, rättens ombudsman, gode mannen och sysslomannen samt sist, men ej minst, borgenärerna själfva allt hvad på dem i sådant afseende kan ankomma, skola utan tvifvel många af de klagomål, som nu riktas mot konkurslagen, nedtystas.</w:t>
        <w:br/>
        <w:br/>
        <w:t>Men äfven om jag hade den mening, som motionären har, att vår konkurslagstiftning behöfver byggas om på en helt och hållet ny grund, skulle jag ändock icke för närvarande velat vara med om att förorda en sådan åtgärd. Ett så omfattande lagstiftningsarbete skulle nämligen kräfva förändringar i lagen äfven på många andra områden: på processrättens område, på familjerättens område, men i synnerhet på obligationsrättens område.</w:t>
        <w:br/>
        <w:br/>
        <w:t>Detta stora arbete bör icke utföras af någon annan institution än lagberedningen. Det vore icke lyckligt, om ett sådant arbeta anförtroddes åt t. ex. en kommitté. Man råkade då in i förhållanden, som man velat undvika genom lagberedningens inrättande. Man skulle ånyo löpa fara att riskera enhet och konsekvens i lagstiftningen.</w:t>
        <w:br/>
        <w:br/>
        <w:t>Lagberedningen har emellertid många uppgifter, som äro vida angelägnare att taga itu med än konkurslagstiftningen. Jag behöfver endast erinra om vår rättegångsordning. Konkurslagstiftningen är endast några och 40 år gammal, rättegångsordningen däremot nära 175 år gammal. Det är gifvet, att den senare lagen endast på grund däraf måste förete vida större bristfälligheter än den förra. Jag tror också, att en del af de klagomål, som nu riktas mot konkurslagstiftningen, ytterst ha sin grund i processordningen. Man klagar öfver, att konkursutredningar taga så lång tid. Men detta beror ofta därpå, att rättegångar behöfva utföras för konkursboens räkning, och dessa rättegångar draga i många fall en tid af 4 å 5 år och därutöfver, hvarigenom konkursernas afslutande uppehålles. Det är ett orimligt förhållande, att personer skola kunna hållas i konkurstillstånd under så lång tid, som för närvarande i vårt land i många fall åtgår för att bringa en konkurs till afslutning.</w:t>
        <w:br/>
        <w:br/>
        <w:t>Om nu lagberedningen alltså borde utföra detta arbete, skulle det komma att dröja ganska länge, innan därmed kunde börjas, och jag tror därför, att det är bäst i öfverensstämmelse med de intressen, som motionären här velat förfäkta, om man nu, såsom lagutskottet föreslagit, beträder de partiella reformernas väg och icke griper sig an med någon fullständig omgestaltning af vårt konkursväsende.</w:t>
        <w:br/>
        <w:br/>
        <w:t>Klagomålen mot konkurslagen hafva ju mestadels kommit från affärskretsar. På sista tiden har man emellertid kunnat iakttaga, hurusom just inom dessa kretsar bildats särskilda sammanslutningar med det speciella syftet att tillvarataga medlemmarnes intressen i konkurser. Redan förut hafva funnits sammanslutningar med detta ändamål, men dessa sammanslutningar hafva äfven haft andra ändamål, och syftet att bevaka medlemmarnas intressen i konkurser har därigenom kommit att stå tillbaka. Genom att nu följa det exempel, som gifvits från utlandet — efter hvad jag tror särskildt från Danmark — att bilda sammanslutningar med speciellt sistnämnda syfte, tror jag, att man slagit in på en god väg, hvarpå man, i den mån det låter sig göra, bör fortgå.</w:t>
        <w:br/>
        <w:br/>
        <w:t>Det var emellertid, herr talman, icke endast detta, som jag ville säga, utan jag har begärt ordet för att äfven framhålla ett önskemål i en fråga, som visserligen på ett förberedande stadium varit på tal inom utskottet, men som icke kommit att beröras i betänkandet. Det gäller de så kallade fattigkonkurserna — dessa</w:t>
        <w:br/>
        <w:br/>
        <w:t>konkurser, i hvilka det från början är alldeles klart, att gälde- Om revision nären saknar alla tillgångar och att fordringsägarne icke kunna / for få någon utdelning. Dessa konkurser komma ju oftast till stånd, (Forts) emedan man vill söka få med visshet utrönt, huruvida gäldeom nären har några andra tillgångar än dem, som han från början uppgifvit. Detta ändamål vinner man därigenom, att gäldenären</w:t>
        <w:br/>
        <w:br/>
        <w:t>får i konkursen aflägga ed på, att hans uppgifter om tillgångar</w:t>
        <w:br/>
        <w:br/>
        <w:t>och skulder äro riktiga. Men sådana konkurser som de nu om-</w:t>
        <w:br/>
        <w:br/>
        <w:t>nämnda åstadkommas också af andra anledningar. De uppstå understundom blott af den anledningen, att en borgenär vill trakassera en honom misshaglig gäldenär, bereda honom svårig-</w:t>
        <w:br/>
        <w:br/>
        <w:t>heter och ledsamheter. De uppstå kanske också emellanåt af</w:t>
        <w:br/>
        <w:br/>
        <w:t>det skälet, att en borgenär hoppas att på denna väg kunna</w:t>
        <w:br/>
        <w:br/>
        <w:t>skaffa sig betalning, oaktadt han vet, att gäldenären saknar till-</w:t>
        <w:br/>
        <w:br/>
        <w:t>gångar. Detta skall då tillgå på det viset, att gäldenären lånar</w:t>
        <w:br/>
        <w:br/>
        <w:t>af en annan för att betala den borgenär, som ansätter honom.</w:t>
        <w:br/>
        <w:br/>
        <w:t>För min del kan jag just icke tycka, att detta är någon lojal</w:t>
        <w:br/>
        <w:br/>
        <w:t>utväg att skaffa sig betalning på, eller något, som man på något</w:t>
        <w:br/>
        <w:br/>
        <w:t>sätt bör understödja.</w:t>
        <w:br/>
        <w:br/>
        <w:t>Må det tillåtas mig att i korthet erinra om hvilket besvär och hvilken omgång dessa konkurser medföra! De börja såsom vanliga konkurser med att en ansökan ingifves till rätten eller domhafvanden om gäldenärens försättande i konkurstillstånd, det meddelas kommunikationsresolution, gäldenären skall yttra sig öfver ansökningen, han uteblifver med förklaring, eller ock ingifver han sådan förklaring, hvari han antingen medger eller bestrider ansökningens berättigande. Slutet blir, att gäldenären förklaras till konkurs skola afträda sina tillgångar. Nästa åtgärd är utfärdande af offentlig stämning, som skall anslås på rättens dörr och kungöras i de offentliga tidningarna samt, där så ske kan, äfven i ortstidningarna.</w:t>
        <w:br/>
        <w:br/>
        <w:t xml:space="preserve">En sådan gäldenär, hvarom jag här talar, kommer i de flesta fall icke godvilligt med uppgift om sina tillgångar och skulder, utan då måste en person förordnas för att uppteckna boet. När sådan uppteckning skett och inkommit, skola kallelsebref utsändas till fordringsägarne för att underrätta dem om, när inställelsedagen är. Vidare skall förhör utsättas, och därtill kallas de på orten vistande borgenärerna. På förhörsdagen skall gäldenär komma tillstädes för att aflägga bouppteckningsed, och på samma sätt skall hans </w:t>
      </w:r>
      <w:r>
        <w:rPr>
          <w:b/>
        </w:rPr>
        <w:t>hustru²</w:t>
      </w:r>
      <w:r>
        <w:rPr>
          <w:b w:val="0"/>
        </w:rPr>
        <w:t xml:space="preserve"> komma tillstädes för att aflägga bouppteckningsed, ifall någon det yrkar. Borgenärerna skola utse god man, om de nu bry sig om att komma, hvilket icke alltid är händelsen, då de veta, att icke något finns att få i konkursen. Slutligen skall en rättens onbudsman utses. För godemännen samt för rättens ombudsman skola förordnanden utfärdas. Så är då förhöret slut; men vanligen går därefter så till, att gäldenären får en påstötning att vända sig till rättens ombudsman för att</w:t>
        <w:br/>
        <w:br/>
        <w:t>genom honom få till rätten ingifven en framställning, att konkursen må få nedläggas, därför att inga tillgångar finnas. En sådan framställning kommer in till rätten, men denna kan icke omedelbart besluta öfver framställningen, utan rätten resolverar, att ärendet skall hvila i 30 dagar, på det att gäldenären eller någon borgenär må visa, om tillräckliga medel för konkurssakens fortgång kunna finnas. Sedan de 30 dagarne gått till ända, kan ändtligen beslut meddelas, att konkursen skall afskrifvas. Men ännu, sedan ärendet sålunda passerat protokollet kanske fem eller sex gånger, är det icke alldeles slut. En inställelsedag är nämligen utsatt: det kommer bevakningshandlingar in, de måste föredragas och protokoll måste föras äfven på den bestämda inställelsedagen. "Till sist intages i detta protokoll en anteckning om att konkursen afskrifvits till följd af bristande tillgångar. Annu är det dock icke fullkomligt slut, utan anteckning skall göras om allt detta i det konkursdiarium, som rätten skall föra.</w:t>
        <w:br/>
        <w:br/>
        <w:t>Härtill kommer också, att det allmänna får vidkännas kostnader för sådana konkurser; därest icke tillgängliga medel i konkursboet finnas att bekosta offentlig stämning och kallelsebrefs utsändande, skall domaren få ersättning därför af statsmedel.</w:t>
        <w:br/>
        <w:br/>
        <w:t>År det nu rimligt, frågar jag, att allt detta besvär och alla dessa omgångar skola göras, där det från allra första stund, redan från konkursansökningens ingifvande är klart, att gäldenären är i saknad af alla tillgångar? Man borde väl kunna hitta på något medel att förebygga dylikt. För min del är jag icke alldeles säker på, att detta låter sig göra genom några bestämmelser i konkurslagen; möjligen böra sådana bestämmelser ha sin plats i utsökningslagen. Det kunde ju kanske där föreskrifvas, att, när vid utmätning en gäldenär befinnes sakna utmätningsbara tillgångar, han skall inför exekutiv myndighet under betryggande former få aflägga sådan edlig förklaring, som eljest göres genom gäldenärsed i konkurs. På detta sätt skulle en hel massa konkurser kunna förebyggas.</w:t>
        <w:br/>
        <w:br/>
        <w:t>Sistlidet års lagutskott, som också hade att yttra sig öfver en framställning om revision af konkurslagen, vidrörde detta ämne; och utskottet föreslog, att en undersökning skulle göras, huruvida icke så kallade fattigkonkurser måtte kunna undvikas.</w:t>
        <w:br/>
        <w:br/>
        <w:t>Det är, herr talman, för att fästa uppmärksamheten på detta förhållande, som jag har begärt ordet, och jag hoppas, att, om nu en riksdagsskrifvelse rörande konkurslagen kommer till stånd och däraf föranledes ett arbete på denna lags ändring, det då också måtte tagas i öfvervägande, huruvida icke något kan göras för att förebygga eller åtminstone minska antalet af de så kallade fattigkonkurserna.</w:t>
        <w:br/>
        <w:br/>
        <w:t>I öfrigt, herr talman, har jag intet annat yrkande att göra än det om bifall till utskottets hemställan.</w:t>
      </w:r>
    </w:p>
    <w:p>
      <w:pPr>
        <w:pStyle w:val="Heading2"/>
      </w:pPr>
      <w:r>
        <w:t>2. Carl Ljunggren (Liberala samlingspartiet, man)</w:t>
      </w:r>
    </w:p>
    <w:p>
      <w:r>
        <w:rPr>
          <w:b w:val="0"/>
        </w:rPr>
        <w:t>Ehuruväl jag gifvetvis helst hade sett, Om revision att min framställning hade vunnit lagutskottets gillande, ber jag &amp; Fonkurai alla fall att få förklara mig både tacksam mot utskottet och bese låten, för den händelse Riksdagen skulle bifalla lagutskottets hem- (Forts.) ställan. Jag tror icke, att man kan vinna så synnerligen mycket på de partiella reformernas väg. Men jag ser i lagutskottets hemställan om en skrifvelse med begäran om utredning en antydan icke så mycket om partiella reformer som fastmer om en större omgestaltning af konkurslagen. Jag biträder också det förslag, som herr Begerdahl framställt, nämligen att vid utredningen jämväl måtte tagas hänsyn till ett förhindrande af de så kallade fattigkonkurserna.</w:t>
        <w:br/>
        <w:br/>
        <w:t>Jag anhåller, herr talman, om bifall till utskottets hemställan.</w:t>
        <w:br/>
        <w:br/>
        <w:t>Från åtnjutande af dyrtidstillägg undantagas de tjänstemän och betjänte, hvilkas aflöningsförmåner vid 1901, 1902, 1903, 1904 eller 1905 årens riksdagar ny- eller omreglerats efter andra grunder än dem, som följts vid de äldre staternas fastställande.</w:t>
      </w:r>
    </w:p>
    <w:p>
      <w:pPr>
        <w:pStyle w:val="Heading2"/>
      </w:pPr>
      <w:r>
        <w:t>3. Carl Lindhagen (Socialdemokraterna, man)</w:t>
      </w:r>
    </w:p>
    <w:p>
      <w:r>
        <w:rPr>
          <w:b w:val="0"/>
        </w:rPr>
        <w:t>Herr talman! Jag och några andra ledamöter i kammaren hafva i en afgifven motion yrkat, att dyrtidstillägget för de ordinarie vaktmästarne vid Kungl. Maj:ts kansli, öfriga centrala statsmyndigheter, hofrätterna däri inbegripna, samt länsstyrelserna måtte ökas med 10 procent utöfver det belopp, som föreslagits af Kungl. Maj:t och nu äfven af statsutskottet. Dessutom ha vi hemställt, att dessa vaktmästare måtte åtnjuta detta dyrtidstillägg, äfven om de nu åtnjuta bostadsförmån in natura.</w:t>
        <w:br/>
        <w:br/>
        <w:t>En framställning i detta syfte har gjorts förut hos Kungl. Maj:t af föreningen för vaktmästare i Stockholm. Kungl. Maj:t har sedan i statsverkspropositionen till denna Riksdag förklarat, att Kungl. Maj:t fann behjärtansvärda skäl tala för ett bifall till framställningen, men då någon utsikt att i Riksdagen vinna framgång åt förslaget ansetts icke förefinnas, har Kungl. Maj:t icke vågat framlägga vaktmästarnes kraf.</w:t>
        <w:br/>
        <w:br/>
        <w:t>I anledning däraf hafva vi väckt vår motion, men nu har Om dyrtidsstatsutskottet afstyrkt densamma på det skäl, att ett dylikt beslut GA | en skulle innebära en orättvisa mot statens öfriga betjänte. N och betjänte kan man emot en sådan åsikt, som statsutskottet här har uttalat, — m. m. göra den allmänna invändningen, att icke få de andra det sämre, (Forts.) därför att man gör någon rättvisa mot dessa statstjänare. Det går ju vanligen till på det sätt, att dylika lönekraf uppfyllas partiellt, i den mån de föras fram närmast af dem, som äro intresserade i frågan; och i den mån en sådan uppfyllelse äger rum, gagnas äfven jämställda löneklasser, så att äfven de komma ett steg närmare uppfyllandet af sina kraf.</w:t>
        <w:br/>
        <w:br/>
        <w:t>Men äfven om man icke vill fästa afseende vid denna synpunkt, föreligger ju här en alldeles särskild hänsyn, som gör, att billigheten påkallar, att dessa vaktmästare ensamma nu få ett högre dyrtidstillägg. De stå nämligen bland alla statens betjänte för närvarande i den lägsta aflöningen. Att då något öka dyrtidstillägget för dem betyder endast att något så när rättvisligen närma deras aflöning till den, som öfriga statsbetjänte åtnjuta. Detta kan man icke kalla annat än billigt, och icke kan man säga, att detta innebär en orättvisa mot öfriga betjänte, som i alla fall hafva en högre aflöning, äfven i jämförelse med hvad här ifrågavarande vaktmästare skulle få med det af motionärerna nu föreslagna tillägget.</w:t>
        <w:br/>
        <w:br/>
        <w:t>Vaktmästarnes gällande lönereglering härleder sig från den längst tillbaka liggande väntetiden för någon grupp af statstjänare. På 1870-talet fastställdes den nuvarande lönestaten för vaktmästare med 800 kronor jämte ett dyrtidstillägg på 100 kronor, således summa 900 kronor, samt för förste vaktmästare — som icke äro så många till antalet — med 1,100 kronor, utan något dyrtidstillägg. Den kommitté, som varit tillsatt för att reglera ämbetsverkens löner, har föreslagit den förbättring för de vaktmästare af ifrågavarande slag, som finnas i de verk, hvilka kommittén hittills hunnit taga befattning med, att lönen skulle ökas med 300 kronor. Det visar, att man inser, att deras nuvarande aflöning är alltför liten.</w:t>
        <w:br/>
        <w:br/>
        <w:t>Jag skall taga ett exempel på, huru det ställer sig med vaktmästarnas aflöningsförhållanden i jämförelse med andra klasser af statstjänare. I tullstyrelsen t. ex. hafva styrelsens egna vaktmästare den låga aflöning, som jag nyss nämnde, men däremot är det bland de öfriga vaktmästarne inom själfva tullstaten ingen, som kan komma upp till mindre än 1,200 eller 1,250 kronor. Och packhusvaktmästarne komma upp ända till 1,700 kronor. Om man nu jämför vaktmästarne i själfva tullstyrelsen med dessa, så komma de förra ej upp till mer än 900, respektive 1,100 kronor, och ändå lära de ha samma tjänstgöringstid som tullpackhusets vaktmästare, hvartill kommer, att vaktmästarne i tullstyrelsen lära hafva ett stort ansvar, därigenom att de till</w:t>
        <w:br/>
        <w:br/>
        <w:t>bankerna öfverföra stora remisser på milliontals kronor. I en annan stat, såsom exempelvis järnvägsstaten, kommer en järnvägsbetjänt med tiden upp till 1,050 kronor jämte fri medicin och läkarevård; detta är visserligen icke mycket, men i alla fall något högre, än hvad ifrågavarande vaktmästare kunna uppnå. Afven postbetjänte — som det äfven nu är fråga om, och för hvilka Kungl. Maj:t har begärt särskildt dyrtidstillägg — kunna, såsom utredningen i den kungl. propositionen utvisar, dock komma upp till åtskilligt mer än dessa vaktmästare. Det ställer sig därför så, att i styrelserna för verken de ledande ämbetsmännen äro de bäst aflönade och deras vaktmästare de sämst aflönade i hela verket. Man kan ej förstå, hvarför det skall vara så stor kontrastverkan just inom själfva styrelserna för de centrala ämbetsverken.</w:t>
        <w:br/>
        <w:br/>
        <w:t>Nu kommer härtill, att vaktmästarne i dessa ämbetsverk komma att få vänta längre på sin lönereglering än andra betjänteklasser. Dessa vaktmästares löner kunna nämligen ej regleras på en gång, utan endast tillsammans med de särskilda ämbetsverken; och det går därför ytterst långsamt med deras lönereglering. Den tillsatta kommittén har föreslagit reglering för kammarrätten, kammarkollegium, statskontoret, och den håller nu på med länsstyrelserna, men man vet icke, när det blir något af med kommitténs förslag beträffande dessa verk och ännu mindre i fråga om alla andra verk. Således få dessa statstjänare vänta oändligt länge, innan de få en verklig lönereglering, på samma gång som deras nuvarande löner äro fastställda längre tillbaka i tiden än för någon annan af öfriga betjänteklasser.</w:t>
        <w:br/>
        <w:br/>
        <w:t>Nu invänder man kanske, att dessa vaktmästare ha så mycket extra förjänster. Jag tror dock, att det förhåller sig med den saken som så ofta annars, nämligen att man ser några exempel på, att sådana vaktmästare ha ganska grofva förtjänster, och att man däraf drager den hastiga slutsatsen, att då förhåller det sig väl så med hela kåren. Sanningen är emellertid den, att en stor del af dessa vaktmästare icke hafva och ej kunna hafva några biförtjänster, och att många af dem med sina familjer lära lida verklig nöd.</w:t>
        <w:br/>
        <w:br/>
        <w:t xml:space="preserve">Vidare förhåller det sig så, att de extra förtjänsterna icke äro på långt när så stora nu, som de voro förr. Och detta beror på dels utsträckt tjänstgöringstid i ämbetsverken, hvarigenom det blir mindre tillfälle att skaffa sig dylika förtjänster, och dels därpå, att det blir en allt större konkurrens om dessa extra förtjänster. T. ex. i fråga om servering inomhus tränger den </w:t>
      </w:r>
      <w:r>
        <w:rPr>
          <w:b/>
        </w:rPr>
        <w:t>kvinnliga¹</w:t>
      </w:r>
      <w:r>
        <w:rPr>
          <w:b w:val="0"/>
        </w:rPr>
        <w:t xml:space="preserve"> arbetskraften ut vaktmästarne, såväl på grund utaf billigare aflöning som därför, att vaktmästarne ej kunna vara till hands hela dagen. Vidare börjar en annan biförtjänst, nämligen inkasseringsuppdrag, gå dem ur händerna, ty banker och dylika inrättningar anskaffa numera sina egna inkasserare. På teatrarna ha vaktmästare</w:t>
        <w:br/>
        <w:br/>
        <w:t>förut uppburit afgifterna för klädesplaggens aflämnande, men nu Om dyrtidspåstås detta vara utbytt mot att de skola redovisa för de influtna dr en beloppen och själfva få en ringa ersättning af 1 krona å 1: 25 och betjänte för hvarje natt de vakta på teatern. Då återstår dem blott att mm. m. tjänstgöra såsom kypare, men detta är naturligtvis möjligt blott (Forts. för ett fåtal, och i dessa fall får man ock betänka, hvilket uppslitande arbete det är som de få utföra hela nätterna för att få en sådan extra förtjänst.</w:t>
        <w:br/>
        <w:br/>
        <w:t>Hvad slutligen angår bostadsförmånen, har statsutskottet i allmänhet anmärkt, att anledningen, hvarför sådana tjänstemän, som åtnjuta fri bostad, ej skulle få dyrtidstillägg, är den, att man i allmänhet har motiverat dyrtidstilläggen med de dyra hyrorna. Detta är emellertid att fasthålla ett mycket ensidigt åskådningssätt, ty det är på det sättet, att det är icke blott hyrorna, utan äfven en hel del andra lefnadskostnader, som i samma mån stiga. Och man kan ej med hänsyn till den öfriga ökningen i lefnadskostnaderna upprätthålla den tanken, att alla som ha fri bostad ej skulle kunna få dyrtidstillägg.</w:t>
        <w:br/>
        <w:br/>
        <w:t>Hvad särskildt dessa vaktmästare angår, afdragas för dem 150 kronor på lönen för deras bostad, så att man egentligen ej kan tala om fri bostad, då de ju få betala för den; och ofta inhysas de i de allra sämsta rummen, som verket har, ty man anser verket behöfva de bästa lokalerna själf. Slutligen kan denna förmån snarare betraktas såsom en extra aflöning, som dessa vaktmästare förtjäna, därför att de få vara till hands hela dagen inom huset och tjänstgöra som ett slags vice värdar utan att därför uppbära någon särskild ersättning.</w:t>
        <w:br/>
        <w:br/>
        <w:t>Man kan således förstå, att en kår af statstjänare, som så långt tillbaka i tiden som 1870 fick sin nuvarande lönereglering och som ännu 'icke har fått någon tillökning i aflöningsförmåner, trots de ökade lefnadskostnaderna, trots längre tjänstgöringstid och mindre tillfälle till extra förtjänster och trots den långa väntan, som återstår dem, måste befinna sig i en särdeles brydsam belägenhet. Jag och mina medmotionärer ha därför föreslagit, att dessa vaktmästares dyrtidstillägg skulle höjas till 20 proc. Detta är icke mer än rimligt; och att göra en särskild skillnad i det afseendet mellan Stockholm och trakterna norr därom å ena sidan samt det öfriga Sverige å den andra, ha vi ej ansett lämpligt, då de flesta vaktmästare ha sin utkomst i Stockholm och de öfriga verkligen ha så låg aflöning, att de, hvar de än bo, verkligen förtjäna detta extra tillskott. Afven ur allmän synpunkt är det ej annat än riktigt att, på samma gång dyrtidstillägget begränsas uppåt, å andra sidan ökas något för de löner, som stå på gränslinien af existensminimum, ity att tillökningen af de oundgängligaste lefnadskostnaderna utan tvifvel stigit mera än som motsvaras af det nu föreslagna dyrtidstillägget för de lägst aflönade statstjänarne.</w:t>
        <w:br/>
        <w:br/>
        <w:t>och betjänte dock ansett, att ett så rättvist kraf ej får alldeles tigas ihjäl. mm Jag anser mig därför ej böra framställa något yrkande om bifall (Forts) till motionen oförändrad, utan afstår från yrkande på dyrtidstillägg äfven för dem, som åtnjuta fri bostad, och inskränker mig till att yrka bifall till motionen i öfrigt. Man bör då också, när den punkten kommer, föreslå ökning af förslagsanslaget. Antalet vaktmästare lärer vara 150 å 200, och det belopp, som inalles skulle tillkomma dem genom bifall till det nu gjorda för-</w:t>
        <w:br/>
        <w:br/>
        <w:t>slaget, kan sålunda beräknas till omkring 18,000 kronor.</w:t>
        <w:br/>
        <w:br/>
        <w:t>Jag inskränker mig således till att framställa det yrkande, att den nu föredragna punkten må erhålla följande ändrade lydelse: »Dyrtidstillägg utgår för ordinarie vaktmästare vid Konungens kansli, öfriga centrala myndigheter och länsstyrelserna med 20 procent och i öfriga fall med 10 procent å kontant aflöning, dock icke i något fall med högre belopp än 300 kronor.»</w:t>
      </w:r>
    </w:p>
    <w:p>
      <w:pPr>
        <w:pStyle w:val="Heading2"/>
      </w:pPr>
      <w:r>
        <w:t>4. Lars Eriksson (–, man)</w:t>
      </w:r>
    </w:p>
    <w:p>
      <w:r>
        <w:rPr>
          <w:b w:val="0"/>
        </w:rPr>
        <w:t>Herr talman! På de skäl, som utskottet anfört, ber jag att få yrka bifall till utskottets hemställan.</w:t>
      </w:r>
    </w:p>
    <w:p>
      <w:pPr>
        <w:pStyle w:val="Heading2"/>
      </w:pPr>
      <w:r>
        <w:t>5. Axel Schotte (Liberala samlingspartiet, man)</w:t>
      </w:r>
    </w:p>
    <w:p>
      <w:r>
        <w:rPr>
          <w:b w:val="0"/>
        </w:rPr>
        <w:t>Herr talman! Då statsutskottet i den här föreliggande punkten icke funnit sig kunna biträda Kungl. Maj:ts förslag, att jämväl åtskilliga vid postverket anställda tjänstemän och betjänte skulle komma i åtnjutande af dyrtidstillägg, nödgas Jag för någon stund taga kammarens uppmärksamhet i anspråk för ett sammanfattande af skälen för Kungl. Maj:ts förslag och för några erinringar vid statsutskottets motivering.</w:t>
        <w:br/>
        <w:br/>
        <w:t>I det betänkande, som den 31 oktober 1901 afgafs af kommittén för utarbetande af förslag till nya stater för postoch telegrafverken, yttrar kommiltén, att &gt;kommitteén afsett, att, om och i den mån sådant dyrtidstillägg komme att beredas andra statstjänare, äfven postpersonalen, när de af kommittén föreslagna aflöningsbelopp tillämpades, borde af dyrtidstillägg komma i åtnjutande». Kommittén ansåg således, att de af kommittén föreslagna lönebeloppen allenast vore lämpliga och tillfredsställande under normala förhållanden. Och detta understryker generalpoststyrelsen ytterligare i sitt yttrande öfver kommitténs förslag, då generalpoststyrelsen säger, att de föreslagna lönerna &gt;icke tilltagits högre, än att de kunde betraktas såsom normalbelopp, afpassade utan hänsyn till dyr tid». I sammanhang härmed uppmärksammar också generalpoststyrelsen, att »åtskilliga befattningar vid postverket icke ens varit föremål för någon omreglering i afseende å aflöningsförhållanden».</w:t>
        <w:br/>
        <w:br/>
        <w:t>Man utgick således vid nämnda lönereglering därifrån, att det allenast var under vanliga förhållanden, som de genom regleringen bestämda lönerna kunde anses tillräckliga, och att, därest dyrtidstillägg till äfventyrs komme att tilldelas andra statstjänare, det äfven kunde ifrågakomma att tilldela sådant åt den vid posten anställda personalen.</w:t>
        <w:br/>
        <w:br/>
        <w:t>Löneregleringen för postvaktbetjänte ägde rum redan 1899, således innan någon egentlig allmän prisstegring inträdt, och 1901 års kommitté yttrar också, att den icke föreslagit någon afsevärd förändring i vaktbetjäntes löneförmåner. 1902 års Riksdag hade, såsom kammaren har sig bekant, en annan syn på frågan om eventuella dyrtidstillägg för postpersonalen. Riksdagen fann nämligen uppenbart att, då ny lönereglering företoges, aflöningarna borde så bestämmas, att de utan några ytterligare tillskott från statsverkets sida blefve med afseende såväl å tjänsteinnehafvarnas åligganden och tjänsteställning som å de vid tiden för löneregleringen rådande prisförhållanden tillräck-</w:t>
        <w:br/>
        <w:br/>
        <w:t>liga; och utgick Riksdagen därför också vid uppgörandet af ifrågavarande lönestater från denna uppfattning och kunde till följd däraf beträffande personalen vid postverkets lokalförvaltningar, för hvilken fullständig lönereglering då beslutits, icke dela den mening, som innefattades i kommitténs nämnda uttalande.</w:t>
        <w:br/>
        <w:br/>
        <w:t>I öfverensstämmelse med dessa uttalanden afslog också 1902 års Riksdag Kungl. Maj:ts förslag till nämnda Riksdag om dyrtidstillägg till ifrågavarande tjänstemän och betjänte vid postverket. Men med orden: »med afseende å de vid tiden för löneregleringen rådande prisförhållanden» i riksdagsskrifvelsen i ärendet har Riksdagen också betonat — hvilket för resten torde vara tämligen naturligt — att löneregleringen måste hänföra sig till de förhållanden, under hvilka den uppgjorts, icke betraktas såsom fastställd för en längre framtid. Riksdagen får också anses hafva, genom att särskildt betona de vid tiden för löneregleringen rådande prisförhållanden, haft den tanken, att prisstegringen skulle kunna blifva sådan, att dyrtidstillägg jämväl för postpersonalen kunde ifrågasättas.</w:t>
        <w:br/>
        <w:br/>
        <w:t>Det är åberopadt, att postverkets personal i förhållande till likställda tjänstemän och betjänte vid andra verk har jämförelsevis låga aflöningar. Särskildt har framhållits, att så skulle vara förhållandet i jämförelse med tullstaten. Det är också helt naturligt redan på den grund, att tullverkets löner äro reglerade senare än postens, eller år 1904. Det framgår af den redogörelse, som är lämnad i statsverkspropositionen, att löneregleringen för vaktmästarna i tullen upptager en aflöning af 1,400, 1,200 och 1,050 kronor oberäknadt vissa andra förmåner, under det att lönen för postvaktbetjänte uppgår till 1,000, 930 och 900 kronor. Genom 1904 års reglering för tullverket tillerkändes tullbetjänte beklädnadsförmån in natura, en förmån, som de icke förut haft. Vid en sammanfattning af resultatet af löneregleringen för tullstaten framgår, att tulltjänstemännen och tullbetjänte samt särskildt tullvaktmästarna genom löneregleringen år 1904 erhöllo löneförhöjning af 100 till 200 kronor utöfver föregående löner med tillägg af dyrtidstillägg.</w:t>
        <w:br/>
        <w:br/>
        <w:t>Det är särskildt framhållet i Kungl. Maj:ts proposition, att postverkets personal genom 1902 års lönereglering fick sina inkomster minskade i ganska afsevärd utsträckning. Jag skall icke trötta kammaren med att mera fullständigt redogöra för detta. Uppgifterna härutinnan återfinnas på sidan 12 i statsutskottets föreliggande utlåtande. MHäraf synes, att det är en ganska omfattande minskning, som drabbat en stor del af personalen genom 1902 års lönereglering. Vidkommande postbetjänte af första lönegraden hade 35 erhållit en ökning, men 436 lidit en minskning, af postbetjänte i andra lönegraden hade 35 erhållit en ökning, men däremot 170 en minskning och af post-</w:t>
        <w:br/>
        <w:br/>
        <w:t xml:space="preserve">betjänte af tredje lönegraden hade 27 fått en ökning, under det Om dyrtidsatt 264 lidit en minskning, allt i förhållande till förut närmast era - en utgående aflöning. och betjänte Jag har flera gånger förut under denna riksdag varit i — m. m. tillfälle att framhålla den stora prisstegring på alla lifsförnöden- (Forts.) heter och å bostadshyror, som ägt rum under de senare åren, och jag vill därför icke taga kammarens tid i anspråk med att ytterligare relatera dessa förhållanden. Enhvar har nog erfarenhet af, att de dyra tiderna nu äro synnerligen svåra och alla pris mycket uppdrifna. Detta är naturligtvis svårast för de små löntagarna med stora familjer. Det är gifvetvis också ur det allmännas synpunkt af vikt, att aflöningen för en personal, som har hand om så stora medel, som postverkets personal, icke hålles alltför låg. Statsutskottet har åberopat en del skäl, som föranledt utskottet att afstyrka framställningen i nu förevarande del. Det kan icke nekas till, att icke postverkets personal genom 1902 års lönereglering erhållit en del förbättringar med afseende på anställningsvillkor och pension. Jag tror dock, att statsutskottet sett dessa förhållanden i något för ljus dager. Statsutskottet säger först, att ett betydande antal nya ordinarie beställningar tillkommit, nämligen 250 postexpeditörstjänster och 200 vaktbetjänthefattningar, och att dessa i båda fallen till allra största delen upptagits i de högsta lönegraderna. Att största delen af de nya tjänsterna just uppfördes i de högsta lönegraderna berodde, hvad tjänstemännen beträffar, därpå, att dessa grader äro afsedda för de manliga tjänstehafvarna, hvilka till antalet voro ojämförligt flere än de </w:t>
      </w:r>
      <w:r>
        <w:rPr>
          <w:b/>
        </w:rPr>
        <w:t>kvinnliga¹</w:t>
      </w:r>
      <w:r>
        <w:rPr>
          <w:b w:val="0"/>
        </w:rPr>
        <w:t>, för hvilka de lägre graderna reserverades. Beträffande postbetjänte, berodde detta åter därpå, att ökning af betjäntepersonal företrädesvis behöfdes å de orter, där enligt gällande grunder aflöningen skulle utgå i högsta löneklassen. Trots ökningen af antalet befattningar i dessa lönegrader, inträffar ännu, att postbetjänt i Stockholm måste vid befordran till ordinarie anställning tilldelas aflöning enligt lägre klass än den för honom afsedda eller första klassen. Att det för tjänstemännen ökade antalet befattningar i första graden var behöfligt torde framgå däraf, att af de postexpeditörer, som från 1906 års början åtnjutit sitt första ålderstillägg och således nått upp till en aflföning af 2,900 kronor, flertalet varit 40 år eller däröfver och blott ett fåtal mellan 35 och 40 år. Nu angifna löneförmåner måste för tjänstemän, som aflagt studentexamen och som väl i flertalet fall bildat familj, vara ganska knappa. Statsutskottet åberopar vidare, att befordringsutsikterna för tjänstemännen skulle hafva ökats genom 1902 års lönereglering. Detta är sant; men befordringsutsikterna äro icke särskildt stora ändå. För närvarande finnas 850 postexpeditörerstjänster</w:t>
        <w:br/>
        <w:br/>
        <w:t>tillägg åt en del tjänstemän</w:t>
        <w:br/>
        <w:br/>
        <w:t>mot 210 postmästare, 25 kontrollörsoch 60 förste postexpeditörsbefattningar. Om en postexpeditör först vid öfver 40 års ålder kommer upp till en lön af 2,900 kronor, är det gifvet, att han endast vid ganska framskriden ålder kan påräkna att erhålla postmästareeller kontrollörstjänst.</w:t>
        <w:br/>
        <w:br/>
        <w:t>För betjänte innebär det ökade antalet befattningar i första lönegraden ingen ökning af befordringsmöjligheterna, då nämligen fördelningen af postbetjänte inom olika lönegrader beror af deras placering. Om t. ex. en äldre postbetjänt flyttar från Stockholm till landsorten, faller också hans aflöning ned ifrån första lönegraden, som han haft i Stockholm, till andra eller tredje lönegraden, berorende på hvilken plats han kommer till. Det är också sant, att Riksdagen under de senare åren och äfven i år ökat antalet postexpeditörsoch vaktbetjänteposter i afsevärd mån, och det är naturligt, att poststaten skall vara tacksam härför, men denna ökning är i allt fall icke större, än som motsvarar den ständigt fortgående ökningen af posttrafiken och det däraf föranledda anställandet af allt större personal. För närvarande är det ungefär lika många extra vaktbetjänte som det var före 1902; och den tid, som erfordras för en extra postbetjänt att bli befordrad till ordinarie, är ungefär densamma efter som före 1902 års lönereglering.</w:t>
        <w:br/>
        <w:br/>
        <w:t>Statsutskottet har vidare åberopat, särskildt rörande postexpeditörerna, att pensionsförhållandena blifvit förbättrade genom nämnda reglering. Ja, det är också sant, men jag tror icke, att detta är någon synnerlig tröst för dessa tjänstemän. TI alla händelser kunna förbättringarna i pensionsförhållandena näppeligen utgöra skäl för att bibehålla aflöningen vid en väl låg nivå.</w:t>
        <w:br/>
        <w:br/>
        <w:t>Slutligen har statsutskottet åberopat, att postbetjänte enligt det nya aflöningsreglementet bekommit uniformspersedlar in natura eller beklädnadsersättning, För så vidt därmed skulle menas, att först med 1902 års lönereglering denna förmån tillerkänts postbetjänte, så är uttalandet icke exakt. Postbetjänte ha sedan lång tid tillbaka haft fri beklädnad. Det förekommer ett stadgande därom uti 1886 års reglemente för generalpoststyrelsen. Därjämte har generalpoststyrelsen 1893 utfärdat ett särskildt beklädnadsreglemente för poststaten. Den enda nyhet, som rörande beklädnaden infördes 1902, var, att denna förmån öfverfördes från stadganden i särskilda instruktioner till aflöningsförhållandena. Afven härvidlag förefinnes en skillnad i förhållande till tullverket, i det nämligen tullpersonalen, såsom förut påpekats, icke hade fri beklädnad, men fick sådan genom 1904 års lönereglering.</w:t>
        <w:br/>
        <w:br/>
        <w:t>Handlingarna uti detta ärende rörande postens dyrtidstillägg och allt hvad som därutinnan är utredt i de olika skrifvelser, som åberopas i statsverkspropositionen, visa, synes det mig, otvetydigt, att postverkets lönefråga kommit i baklås, att postperso-</w:t>
        <w:br/>
        <w:br/>
        <w:t>prisstegring befinner sig i en rätt prekär ställning i afseende å aflöning i jämförelse med likställda kategorier i andra verk. Vill Riksdagen därför icke inslå på den vägen, att genom något dyrtidstillägg söka utjämna förhållandena, så är det antagligt, att en ny lönereglering för posten snart kommer att ifrågasättas.</w:t>
        <w:br/>
        <w:br/>
        <w:t>Dessa ständiga lönefrågor vid riksdagen äro emellertid, som kammaren väl känner till, mycket svårlösta och ganska besvärliga. Huru hela lönefrågan för statens tjänstemän och betjänte skall kunna på ett praktiskt sätt lösas, erfordrar därför allvarlig uppmärksamhet och utredning. Prisen å lifsförnödenheter stiga alltjämt, och löneregleringar efterträda hvarandra för olika verk. Har det ena verket blifvit regleradt ena året, kommer det andra verket det andra året och åberopar den lönereglering, som skett för det förstnämnda verket. Löneregleringarna bli emellanåt också något ojämna, beroende på löneregleringskommitteernas sammansättning och i hvad mån förespråkare i Riksdagen finnas och kunna göra sig gällande för de olika staterna. Riksdagen blir oupphörligt sysselsatt med lönefrågor än för det ena och än för det andra verket, och huru lång varaktighet en lönerglering under sådana förhållanden kan få, är vanskligt att från början bedöma. Olikhet i löneförmåner emellan likställda statstjänare alstrar missnöje, men alla statstjänare borde, i stället för att se på sina kamrater med oblida ögon, känna sig solidariska och i allmänhet vara, i de olika graderna, likställda med hvarandra i löneförhållanden, äfven om de tillhöra olika staters, verk. Det förekommer dessutom en del specialbestämmelser, olika för olika stater, särskildt angående natura förmåner o. d. hvilka än mera inveckla löneförhållandena och försvåra deras bedömande. När man ibland försökt att genom tilldelande af särskilda förmåner undvika att fastställa en högre lön, har det också ofta visat, sig, att dessa särskilda förmåner icke heller uppskattats tillräckligt af vederbörande löntagare.</w:t>
        <w:br/>
        <w:br/>
        <w:t>Jag har velat i detta sammanhang beröra nämnda förhållanden för att betona önskvärdheten af att man må utfinna ett mera tillfredställande och mera effektivt, enhetligt och varaktigt sätt att ordna löneförhållandena för likställda statsinstitutioner, åtminstone när det gäller statens inkomstgifvande och affärsdrifvande verk. Möjligen kan härvidlag öfvervägas det system. som lärer tillämpas i Tyskland och som har vissa klasser af tjänstemän genomgående öfver hela statsförvaltningen, så att, när lönen bestämmes för en viss klass, denna lön åtnjutes af alla likställda löntagare i alla statens verk.</w:t>
        <w:br/>
        <w:br/>
        <w:t>nalen i ganska stor utsträckning under nu rådande dyr tid och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1012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