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1127</w:t>
      </w:r>
    </w:p>
    <w:p>
      <w:r>
        <w:rPr>
          <w:b/>
        </w:rPr>
        <w:t xml:space="preserve">Datum: </w:t>
      </w:r>
      <w:r>
        <w:t>1910-03-08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Kjellberg (Liberala samlingspartiet, man)</w:t>
      </w:r>
    </w:p>
    <w:p>
      <w:r>
        <w:rPr>
          <w:b w:val="0"/>
        </w:rPr>
        <w:t>Herr talman, mina herrar! Jag skall bedja att inledningsvis få påpeka några punkter i den af mig framlagda motionen för att därefter öfvergå till att söka bemöta de skäl, som utskottet har anfört för afslag å densamma.</w:t>
        <w:br/>
        <w:br/>
        <w:t>Jag har sålunda i min motion inledningsvis nämnt, att jag ansett den nu föreliggande frågan vara en konsekvent åtgärd i lagstiftningsväg efter de beslut, som Riksdagen under senare år har fattat angående fakultativt borgerligt äktenskap, angående utträde ur statskyrkan och angående edgångs utbytande mot högtidlig försäkran. Jag har också framhållit, att min motion afser att — låt vara på ett mindre område — tillmötesgå de allt starkare kraf på samvetsfrihet och ärlighet äfven i religiösa frågor, som vår tid anser sig böra uppställa. Jag har dessutom framhållit, hurusom det icke kan vara riktigt, att kyrkliga ceremonier användas inför personer eller om personer, som hysa en från kyrkans afvikande grunduppfattning, och att den högtidliga akt, hvarigenom en bortgången öfverlämnas åt den sista hvilan, i betänklig grad kan förvanskas därigenom, att ord och former komma till användning, hvilkas innebörd icke omfattas af dem det vederbör. Vidare har jag framhållit, att hvar och en, som erkänner de religiösa föreställningarnas djupt ingripande betydelse, måste ställa sig betänksam gentemot ett slentrianmässigt användande af kyrkliga former, ty ett sådant slentrianmässigt användande af dylika former, ur hvilka andan försvunnit åtminstone för dem, som hysa en annan uppfattning, måste verka stötande för de i djupaste mening religiösa och måste verka förslöande på känslan för sanning och ärlighet.</w:t>
        <w:br/>
        <w:br/>
        <w:t>Jag har vidare anfört den danska begrafningslagen af 1907, och jag vill i samband därmed erinra därom, att denna med den tekniska</w:t>
        <w:br/>
        <w:br/>
        <w:t>termen »borgerlig begrafning&gt; afser alla begrafningar, som icke förrättas efter den danska folkkyrkans former.</w:t>
        <w:br/>
        <w:br/>
        <w:t>Utskottet har nu först och främst 1 sitt yttrande om min motion hänvisat till den Riksdagens skrifvelse, om hvilken särskildt herr yon Schéele redan talat. Men man må komma ihåg, att denna skrifvelse innefattar icke blott frågan om utredning, under hvilka förhållanden personer skola kunna utträda ur den svenska statskyrkan utan att inträda i annat trossamfund, utan denna skrifvelse omfattar också frågan om utredning, huru detta utträde skall ske, utan att vederbörande på grund däraf uteslutas från rätt att deltaga i afgörandet af frågor, som icke pröfvas vara af beskaffenhet att böra allenast af kyrkans medlemmar handläggas.</w:t>
        <w:br/>
        <w:br/>
        <w:t>Vi förstå således, att det först och främst kommer att dröja en ganska lång tid, innan denna fråga kan föranleda lagstiftning, och vidare måste vi tänka därpå, att när denna fråga en gång till äfventyrs resulterar i en lagstiftning, måste åtgärder vidtagas för att bestämma angående begrafningsformerna just för dem, som utträda ur statskyrkan utan att söka inträde i annat trossamfund. Således just den omständigheten, att frågan redan ligger före till Kungl. Maj:ts pröfning om rätt för personer att utträda ur statskyrkan utan att de behöfva uppgifva trossamfund, i hvilket de ämna inträda, redan denna omständighet utgör enligt min uppfattning ett skäl för oss att i tid upptaga den nu föreliggande frågan till utredning.</w:t>
        <w:br/>
        <w:br/>
        <w:t>Nu säger utskottet vidare, att den, som tilläfventyrs icke vill hafva kyrklig begrafning, »kan väl icke alldeles vilja bortse från det förhållande, att hans begrafning tillika har karaktären af en de efterlefvandes eller sambällets gärd åt den döde». Nej, det är alldeles klart, förmodar jag, att högst få människor skola bortse från ett dylikt förhållande, och ingen människa lärer väl motsäga, att en sådan gärd åt den dödes minne, som visar sig genom en begrafning under högtidliga former, är på sin plats. Men hvarför skall denna gärd ske under en gång för alla bestämda, kyrkliga former? Därom bar utskottet icke yttrat sig. Hvarför skall denna de anhörigas, kamraters och vänners gärd vid grafven just ägnas i denna form, när det gäller kretsar, i hvilka denna form måste verka stötande, särskildt i de fall, då den döde icke haft den lifsuppfattning och åskådning, för hvilken denna form vill vara ett uttryck?</w:t>
        <w:br/>
        <w:br/>
        <w:t>Vidare säger utskottet, att förutsättningen för en sådan lagstiftning som den af mig begärda måste vara »tillvaron af ett verkligt behof eller en mera allmänt utbredd uppfattning om det berättigade och lämpliga i det kraf, som här framburits». Ja, reservanterna hafva ju påpekat, att detta påstående af utskottet vederlägges redan af från skilda håll framställda önskningar i detta afseende. Och säkert är det, att äfven om icke sådana önskningar trädt fram i så att säga officiell form, så kan hvar och en öfvertyga sig om, att de finnas och finnas med full rätt. Det är alldeles klart, att man i detta fall icke alls behöfver vänta på opinionsyttringar, på framställda adresser och dylikt för att vidtaga den åtgärd, som jag här föreslagit, utan anser man den å ena sidan vara en naturlig följd af redan vidtagna lagstiftningsåtgärder, och anser man å andra sidan, att hvarje reformförslag på</w:t>
        <w:br/>
        <w:br/>
        <w:t>detta område i sin mån afser att värna om friheten i religiösa frågor, så bör man gå med på mitt förslag, vare sig offentliga opinionsyttringar kommit till stånd i denna fråga eller icke.</w:t>
        <w:br/>
        <w:br/>
        <w:t>Slutligen framhåller utskottet det oriktiga i det tidningsmeddelande, som jag anfört i motionen. Jag är den förste att beklaga, att detta pressmeddelande, som på sin tid väckte ett betydligt uppseende, kommit med i motionen. Jag vill emellertid redan nu säga, att berättelsen om denna begrafning i Bohuslän, som sålunda felaktigt blifvit anförd, ingalunda utgör grundmotivet eller ens spelar nämnvärd roll i motiveringen för min hemställan. Att den med afseende å antalet rader i motionen tager betydligt större plats än tvenne andra åberopade fall från Bohuslän, beror därpå, att jag med afseende å dessa senare nöjt mig med att hänvisa till justitieombudsmannens berättelse, som hvarje riksdagsman erhåller, och där kammarens ledamöter kunna finna, att de båda åsyftade fallen af justitieombudsmannen åtalats inför domkapitlet, och att båda numera äro beroende på Göta hofrätts pröfning. Med beklagande af att det tidningsmeddelande, som numera dementerats, blifvit i motionen anfördt, vill jag ännu en gång upprepa, att detsamma icke varit grundläggande i fråga om motiveringen för min hemställan.</w:t>
        <w:br/>
        <w:br/>
        <w:t>Jag ser till min glädje, att fyra ledamöter af lagutskottet från denna kammare reserverat sig till förmån för min motion och häfdat, att endast därigenom, att både herr Byströms och min motion bifallas, kan rättvisa skipas och verklig religionsfrihet vinnas på detta område.</w:t>
        <w:br/>
        <w:br/>
        <w:t>Med afseende på talet därom, att vi skola vänta med denna fråga därför att tiden ännu icke är inne, vill jag fästa uppmärksamheten på, hur oväntadt fort stundom de kyrkliga reformerna gå. När vid 1903 års riksdag frågorna om civiläktenskap och om utträde ur statskyrkan förelågo till behandling i Första kammaren — lagutskottet hade då tillstyrkt båda reformerna — så möttes de där af bestämdt motstånd. Man hörde då en biskoplig stämma i ett tämligen kort anförande fyra å fem gånger framställa den frågan: »År svenska folket ännu ett kristet folk?» Denna upprepade fråga, som icke fick något svar, påverkade nog förstakammarledamöterna, och man finner samma fråga upprepade gånger framställd, så snart det gäller kyrkliga reformer.</w:t>
        <w:br/>
        <w:br/>
        <w:t>Åfven i fråga om min motion har i tidningsartiklar af namngifna präster framställts den frågan: »Vill svenska folket vara ett Guds folk?» och gång på gång hör man sålunda från prästerligt och kyrkligt håll denna fråga framställas hvarje gång man vill ändra formerna — observera formerna! — för det kyrkliga och religiösa lifvet här i Sverige.</w:t>
        <w:br/>
        <w:br/>
        <w:t>Men trots allt det motstånd, som reformer på detta område vid sitt första uppträdande möta, så går det öfverraskande fort. Då vi nu se 1908) och 1909 års debatter 1 Första kammaren angående frågorna om civiläktenskap och om utträde ur statskyrkan och debatterna 1 kyrkomötet 1908 om den förra frågan, så finna vi reformerna förklaras mogna. Efter fem år finnes intet motstånd, det beslutas en riksdagsskrifvelse och det beslutas lagstiftning. WSåledes, trots det att man 1908 ansåg, att, därest det då framställda förslaget antogs, man</w:t>
        <w:br/>
        <w:br/>
        <w:t>mäste svara nej på frågan »År svenska folket ett kristet folk», så gå Ang. rätt samma personer fem år senare med på reformerna, trots det svar de för väst ad väntat på sin fråga. förrätta Vidare är det af intresse att iakttaga, att när dessa frågor efter jordfästning fem års mellanrum komma fram på nytt och motståndet fallit, så är — m.m. frågan icke längre, huruvida det svenska folket är ett kristet folk, (Forts) utan då blir frågan en annan: »hur skall det gå med de stackars prästerna, de stackars samvetsömma prästerna, som skola åläggas att — i vissa fall mot egen öfvertygelse — förrätta kyrklig vigsel?» Härpå vill jag svara, att så länge svenska kyrkans präster äro statens tjänare, så kan för dem ingen valfrihet förekomma vid handlingar, som de skola utföra såsom på en gång statens och kyrkans tjänare. En helt annan sak är, att det enligt min mening vore högst önskvärdt att en sådan valfrihet gåfves åt svenska kyrkans präster, men det kan icke, såvidt jag förstår, gifvas dem, förrän svenska kyrkan upphört att vara statskyrka. . Vi se således, att det kyrkliga motståndet representeras af präster, som uppträda och först rikta sig mot reformförslagen genom att framkasta frågan, om svenska folket vill vara ett kristet folk, ett Guds folk, och som sedan, när om några år reformförslaget är färdigt att bifallas, fråga: »hur skola vi skydda prästernas samveten?»&gt; Ja, denna fråga om, huruvida ändringen af kyrkliga former berör det svenska folkets religiositet, det svenska folkets moraliska tillstånd och etiska fostran, den kommer ständigt fram. När det är fråga om kyrkoherdes själfskrifvenhet såsom ordförande i skolråd, så skymtar den fram, gäller det biskoparnas eforat, så är den åter framme, ständigt ligger den frågan i bakgrunden. Alltid säges det, att om vi ändra här eller vi ändra där inom det kyrkliga formväsendet, så är kanske Sveriges folk icke längre ett kristet folk. Man kan väl i grund och botten icke fatta dessa ständigt upprepade frågor på annat sätt än att man anser, att hvarje ändring i formen, hvarje rent formell ändring innebär en fara för vårt folk i religiöst afseende. Ja, det förekom i en skånsk högertidning några yttranden i den vägen, när vår nuvarande konung beslöt att icke låta kröna sig, och det framhölls därvid, hurusom Sveriges konungar af ålder genom kyrkan mottagit sitt höga ämbete, hurusom insignierna till detta öfverlämnats åt konungarna genom kyrkan. Men som vi veta har vår nuvarande konung aldrig burit dessa insignier, som vid forna kröningar af kyrkan öfverlämnades till svenska konungar. Vi se således att vid alla reformförslag, som röra kyrkans förhållande till staten och till de enskilda medborgarna, vare sig de äro af stor och ingripande betydelse eller hafva den minsta räckvidd, den frågan alltid kommer fram: »hur skall det nu gå med svenska folket såsom ett Guds folk?» Att denna motion väckt ett visst uppseende och föranledt tidningsartiklar från prästerligt håll, är ju icke att förvåna sig Sfver. Jag skall be att få citera några sådana yttranden, dels sådana för och dels sådana emot mitt förslag. Kyrkoherden teol. dr 8. A. Fries skref för någon tid sedan i Svenska Dagbladet en vidlyftig artikel om borgerlig begrafning, hvars införande »skulle hafva så vidtgående följder med sig, att de rent al</w:t>
        <w:br/>
        <w:br/>
        <w:t>kunde blifva till skada för den kristna religionens ledande ställning i vårt land.&gt; Och vidare skrifver doktor Fries: »Då det gäller hygieniska synpunkter, tror jag ej, att den ärade motionären låter många betänkligheter från känslan och öfvertygelsen hos den döde få bestämmanderätten. Ty det är ju fråga om de efterlefvandes hälsa och trefnad. Det må vara rätt, och äfven jag sätter det lefvande samhällets allmänna välfärd framför äfven en döendes varmaste önskningar och kraf. Och det finns enligt min öfvertygelse en andlig hygien, som också måste tillgodoses.&gt; Ja, man får ju af det nu citerade icke någon annan uppfattning, än att i den andliga hygienen härvidlag måste ingå den kyrkliga begrafningen, och att man för att bibehålla vårt folks andliga hälsa måste fordra den kyrkliga formen vid begrafningar. Författaren säger vidare, att han icke har något att invända mot, att valfrihet förefinnes i afseende på dop och konfirmation, och att försummelse i afseende på gudstjänst, konfirmation och nattvard under lefnadens lopp kan repareras, men att det, som det här är fråga om, aldrig kan i någon form repareras. I samband bärmed opponerar han sig mot att en människa på en under kristna symboler invigd plats begrafves &gt;på samma sätt som man gräfver ned kroppen af ett själfdödt djur.»</w:t>
        <w:br/>
        <w:br/>
        <w:t>Författaren går icke vidare in på denna del af frågan, än att han talar om den högtidliga akt, som möjligen skulle förekomma med blommor och musik och dylikt, som ju äfven de kunna tänkas komma att använda, hvilka i öfrigt icke ville följa den kyrkliga formen för begrafningen. Trots detta använder författaren likväl ett sådant uttryck som det ofvan anförda, att deras kroppar skulle nedmyllas i jorden såsom kroppen af ett själfdödt djur. Det är något ganska vanligt, att då man från kyrkligt håll vill varna för en sak, man gör sig skyldig till de största öfverdrifter. Så också här, när man liknar den begrafning, som icke sker under kyrkliga former, med ett nedgräfvande af döda djurkroppar.</w:t>
        <w:br/>
        <w:br/>
        <w:t>Författaren går vidare in på frågan, huruvida invigda kyrkogårdar skulle få användas för dessa begrafningar. Som herrarna behagade finna af motionen, äro i den danska lagen vissa ordningsregler stadgade, som gälla folkkyrkans kyrkogårdar. Och det vore underligt, om, då gällande föreskrifter, som vi veta, tillåta alla — äfven hedningar — att begrafvas på af svenska kyrkan invigda begrafningsplatser, dessa, som icke vilja hafva kyrklig begrafning, skulle begrafvas på ett särskildt ställe, ty ett motsatt förfaringssätt vore enligt doktor Fries »ett slag i ansiktet på hela den kristna världsåskådningen». Han talar vidare om, att den kristna religionen icke kan finna sig i att man inom dess eget helgade område rent af demonstrerar sin förkastelse af densamma.</w:t>
        <w:br/>
        <w:br/>
        <w:t>Det är gifvet, att, om den af mig ifrågasatta lagstiftningen skulle komma till stånd, den bland annat måste förhindra dylika demonstrationer. I den danska lagen är också allt sådant förbjudet, som kan anses innebära en demonstration mot den danska folkkyrkan. Doktor Fries slutar sin artikel med att uttala — som jag också hört andra präster göra — sitt bekymmer öfver denna motion, som måste framkalla frågan: är Sveriges folk icke längre ett Guds folk?</w:t>
        <w:br/>
        <w:br/>
        <w:t>I en annan tidning, Göteborgs stiftstidning, ett veckoblad på väst-</w:t>
        <w:br/>
        <w:br/>
        <w:t>kusten, bar man också augripit motionen. FHFör att man skall förstå den anda, som talar i denna tidning, ber jag få anföra ett uttalande af märket I. D. W., hvilket att döma af tidningens egen uppgift angående redaktionens medlemmar måtte beteckna kyrkoherden filosofie doktor Ivar D. Wallerius. Min motion säges »uppenbarligen stå i afkristnandets tecken». Vidare anföres: »Må så vara, att det går därbän, att de, som lefvat som hedningar, också komma att som sådana begrafvas och att införandet af obligatorisk borgerlig begrafning rent af kunde synas önskvärdt, när det gäller lik, som det skall eldas med; men så borde ock konsekvensen däraf vara den, att sådana ej jordas på kristligt invigda begrafningsplatser, utan annorstädes».</w:t>
        <w:br/>
        <w:br/>
        <w:t>Som åtskilliga af kammarens ledamöter kanske erinra sig, har motståndet mot likbränningen, särskildt i Göteborgs stift, utgått från prästerligt håll, men man hade knappast väntat, att man från ett håll, som ju särskildt skulle hafva till uppgift att predika hvad vi kalla kärlekens religion, skulle få höra sådana uttryck användas om dem, som föredraga likbränning framför begrafning. Som jag redan nämnt, förklaras min motion gå i afkristnandets tecken. Jag undrar, om man kan säga, att en sådan artikel som den nu citerade kommer att verka främjande för den svenska statskyrkan och dess lära.</w:t>
        <w:br/>
        <w:br/>
        <w:t>Slutligen har en annan statskyrkopräst i Nya Dagligt Allehanda under rubriken »Kyrkliga nyheter» angående den nu föreliggande motionen förklarat, att »det enda, som här är svårt att förstå, är, hvarför hans (motionärens) frisinne inskränkt sig till begrafningen. I Frankrike har man redan försökt sig på civildopet. Ett sådant ägde rum i början af förra året i den franska staden Ivry....». Efter en skämtsam beskrifning öfver detta »dop» säger artikelförfattaren: »Att staden Ivry jämnt ett år efter denna händelse står under vatten är naturligtvis bara en tillfällighet&gt;. — Ja, pastor Carl Kihlén, som författat artikeln, skämtar öfver att jag icke begärt civilt dop. Men jag har icke begärt, att jordfästningen skulle bli borgerlig. Dopet är liksom jordfästningen en kyrklig ceremoni. Och han hade bort skämta lagom 1 denna fråga, ty vid förra kyrkomötet förelåg till behandling en motion, väckt af lektor Waldenström, om införande af lekmannadop, och detta är väl icke något annat än civilt dop, om man nu vill använda denna beteckning.</w:t>
        <w:br/>
        <w:br/>
        <w:t xml:space="preserve">Jag skall be att få yttra några ord med afseende på sträfvandena att afskräcka från en reform t. ex. genom att, såsom författaren i Göteborgs stiftstidning gjort, sätta i fråga, om icke detta begrafningssätt borde göras obligatoriskt för personer, hvilkas döda kroppar »det skall eldas med». Jag vill då omtala de försök, som för några år sedan gjordes i liknande syfte vid en annan reformfråga. Ar 1903 förelåg vid kyrkomötet frågan om införande af borgerlig vigsel och då motionerade teologie professor Rudin »till skydd för den kyrkliga vigselns helgd&gt; om sådan ändring af då gällande äktenskapslagstiftning, att äktenskap mellan koutrahenter, af hvilka den ene eller båda voro frånskilda, »alltid måtte med borgerlig vigsel afslutas». Detta var sålunda ett försök från kyrkligt håll att från början missrekommendera den borgerliga vigseln, att sätta en </w:t>
      </w:r>
      <w:r>
        <w:rPr>
          <w:b/>
        </w:rPr>
        <w:t>flick²</w:t>
      </w:r>
      <w:r>
        <w:rPr>
          <w:b w:val="0"/>
        </w:rPr>
        <w:t xml:space="preserve"> på den genom att säga: vi präster vilja, att, när båda kontrahenterna önska ingå äktenskap och</w:t>
        <w:br/>
        <w:br/>
        <w:t>den ena af dem är frånskild eller båda äro det, obligatoriskt civiläktenskap skall tillämpas. Att på detta sätt göra den borgerliga vigseln obligatorisk för sådana fall som dessa hade naturligtvis haft till följd, att den borgerliga vigseln från början prickats såsom något vanhederligt. Nu har man i de artiklar, som jag här påvisat, och i hvilka man vändt sig emot den borgerliga begrafningen, synts vilja gå till väga på ett liknande sätt.</w:t>
        <w:br/>
        <w:br/>
        <w:t>Bland de röster, som höjts för den borgerliga begrafningen, vill jag anföra norske stiftsprosten Gustaf Jensens. Den befattning, han innehar, motsvarar en domprostbefattning hos oss. Utan något sammanhang med min motion, men i anledning af en begrafning, som ägde rum i Kristiania under förra månaden, har han i »Verdens Gang» skrifvit följande: »I en Avisartikel for nogle Aar siden om kirkelige Forhold udtalte jeg, at der ogsaa burde vere Adgang till borgerlig Begravelse. Allerede i en Rekke Aar har en saadan Adgang staaet aaben i Danmark. Og det er uden Tvivl en simpel Konsekvens af den fremadskridende Udvikling at det samme ogsaa bliver Tilfeldet hos os. Om nogen selv, efter derom forud udtalt Vilje, eller de Efterladte paa hans rette Vegne, ikke onsker den kristne Kirkes Medvirkning ved Begravelsen (eller Ligbraendingen) bor de ikke vere neodte til at se en Prest ved Baaren. Og heller ikke Kirken bor vere nodt til at udföre en Handling, som ikke onskes. Begge Dele er uverdige. Og som det er fra kirkelig Side, at Arbeidet for borgerlig Agteskabstiftelse er optaget hos os og nu forhaabentlig snart gjennemfort, saaledes ber det ogsaa vere fra kirkelig Side det her nevnte Krav reises om Frigjorelse til begge Sider».</w:t>
        <w:br/>
        <w:br/>
        <w:t>Vi se sålunda, att af de fyra präster, till hvilkas uttalanden i saken jag haft tillgång, är stiftsprosten Jensen den ende, som uttalat sig för borgerlig begrafning. Slutligen hari den frikyrkliga tidningen &gt;Ånsgarieposten», Kristinehamn, anförts följande angående denna fråga: »I trots af att motionären intager en irreligiös ståndpunkt, kunna vi ej finna, att det är något vare sig obilligt eller okristligt i det föreliggande förslaget. Om en människa lefver och dör utan tro på kristendomens sanningar och af denna anledning önskar begrafvas utan kristliga ceremonier — hvad vinner man med att ändå på tvångsvägen ställa till med en s. k. kristlig begrafning? Svaret är lätt att ge. Man vinner ingenting alls, man skadar endast kristendomens sak. —&gt;</w:t>
        <w:br/>
        <w:br/>
        <w:t>Som jag redan förut nämnt, ha de frågor, som jag vidrört, nämligen civiläktenskap och andra, på en ganska kort tid förts igenom trots motstånd från prästerligt håll. Jag vill än en gång fästa uppmärksamheten på detta. Emellertid har jag sett den frågan framställas, om icke själfva den nuvarande kyrkliga begrafningsformen har en uppfostrande verkan. Jag medgifver, att den kan hafva det. När människor, som stått den döde närmare eller fjärmare i lifvet, samlas kring bans bår, och han öfverlämnas åt den sista hvilan, så är detta under alla omständigheter en högtid, man må använda hvilka former som helst. Men om hos deltagarna icke finnes förståelse inför dödens gripande allvar, så sannerligen jag tror, att de kyrkliga formerna skapa vare sig vördnad eller andakt. Vi hafva många gånger hört</w:t>
        <w:br/>
        <w:br/>
        <w:t xml:space="preserve">sägas, att kyrkan har en stor uppgift för vårt folk med hänsyn till Ang. rätt dettas uppfostran, och sålunda skulle också hvarje kyrklig akt så att för annan säga utgöra ett led i folkets fostran. Men man kan icke säga, att "bran kyrkan lyckats härvidlag. Vid 1908 års kyrkomöte förelåg frågan, jordfästning att ur syndabekännelsen de orden skulle få utgå, som tala om den = m.m. eviga fördömelsen. Detta reformförslag stötte på motstånd och föll (Forts. igenom vid kyrkomötet. Man ansåg sålunda, att den ständiga, söndagliga påminnelsen därom att hvarje människa är värd en evig fördömelse, om </w:t>
      </w:r>
      <w:r>
        <w:rPr>
          <w:b/>
        </w:rPr>
        <w:t>hon²</w:t>
      </w:r>
      <w:r>
        <w:rPr>
          <w:b w:val="0"/>
        </w:rPr>
        <w:t xml:space="preserve"> skulle dömas så, som Guds rättvisa kräfver och </w:t>
      </w:r>
      <w:r>
        <w:rPr>
          <w:b/>
        </w:rPr>
        <w:t>hennes²</w:t>
      </w:r>
      <w:r>
        <w:rPr>
          <w:b w:val="0"/>
        </w:rPr>
        <w:t xml:space="preserve"> synder hafva förtjänt —, att en sådan ständig påminnelse skulle verka uppfostrande. Jag må säga, att om orden om en evig fördömelse af kyrkomötet bibehöllos i uppfostrande syfte, så kan dock icke jag och antagligen ingen annan heller påstå, att det svenska folket härigenom blifvit uppfostradt i någon högre grad, då vi betänka, huru i långa, långa tider det söndagliga upprepandet af sådana ord som dessa skett i 2,500 svenska kyrkor år ut och år in. Hvar och en, som med allvar läser de orden i syndabekännelsen, skall ögonblickligen inse, hvilket fruktansvärdt innehåll dessa ord om den eviga fördömelsen äga. Hvad är det då, som gör, att man icke lyckats fostra människorna härigenom? Naturligtvis är det den slentrianmässiga uppläsningen från släkte till släkte; man har läst upp dessa uttryck för de små barnen upp till åldringarna, och högst få ha fäst sig vid hvad de verkligen innebära. Således menar jag, att när man påstår, att högtidliga kyrkliga former skulle verka uppfostrande, så kan man å andra sidan icke säga, att kyrkan lyckats härvidlag.</w:t>
        <w:br/>
        <w:br/>
        <w:t>Jag tror sålunda, att den nu föreliggande frågan mötts med sådant motstånd, därför att man är rädd för, att om man släpper de statskyrkliga formerna, så blir det ännu värre än förut. Jag bar den uppfattningen, att det ligger en fara i att på detta för alla människor verkligt betydelsefulla område bibehålla former, som förlorat sin innebörd eller där deras ursprungliga mening icke erkännes. För ett verkligt religiöst sinne och för religionen i djupaste mening måste det vara af vikt, att slentrianmässiga former bortskaffas, när man finner, att deras anda och innebörd gått förlorade. Åtminstone måste man söka ordna så, att icke dylika former användas i de fall, då de måste anses stöta sanningskärleken och ärligheten. Och när man såsom skäl mot formernas ändring eller afskatfande ständigt får böra, att svenska folket skall vara ett Guds folk, eller att svenska folket skall vara ett kristet folk, så måste man ropa till dem, som föra ett sådant tal, att det icke går för sig att identifiera kristendomen med kyrkan och icke heller med sekterna och icke med några former öfver hufvud taget. Formerna måste vara sådana — som jag framhållit i min motion — att de kunna bibehållas för dem som så önska. Jag har också framhållit i min motion, att det finnes personer, för hvilka formerna — trots att deras innebörd försvunnit — dock äro kära och högtidliga, därför att de genom vana och kära minnen blifvit dyrbara. Ma alla de af vårt folk, som önska bibehålla de kyrkliga former, hvilka på grund af sin innebörd eller genom tradition blifvit dem kära, få ostördt behålla dem, men må de, som hysa en annan uppfattning, i sanningens och ärlighetens namn bli befriade från att använda former, som för</w:t>
        <w:br/>
        <w:br/>
        <w:t>dem förlorat sin ursprungliga innebörd, och som därför måste för dem Re såsom ett våldförande på deras känsla för sanning och ärlighet!</w:t>
        <w:br/>
        <w:br/>
        <w:t>Jag vill till sist framhålla, att då Andra kammaren nu går att fatta beslut 1 denna fråga, så hoppas jag, att kammaren tänker på sina föregående och på de många beslut, som under årens lopp i denna kammare fattats rörande likartade frågor, och att man särskildt tänker på, att hvad de, som i denna fråga äro med mig likatänkande, åsyfta med nu föreliggande förslag, är en åtgärd bland många, som afse att bryta hindrande former för att därigenom bereda högre växt och rikare utveckling åt det, som lefver — icke i yttre former, men i anda och sanning.</w:t>
        <w:br/>
        <w:br/>
        <w:t>Jag ber nu, herr talman, att på grund af hvad jag här haft äran anföra få hemställa om afslag på utskottets yrkande och bifall till den af mig väckta motionen.</w:t>
      </w:r>
    </w:p>
    <w:p>
      <w:pPr>
        <w:pStyle w:val="Heading2"/>
      </w:pPr>
      <w:r>
        <w:t>2. Oscar Broberg (Lantmannapartiet, man)</w:t>
      </w:r>
    </w:p>
    <w:p>
      <w:r>
        <w:rPr>
          <w:b w:val="0"/>
        </w:rPr>
        <w:t>Herr talman! Jag skall be att blott få säga några få ord. Söker man kardinalpunkten i denna motion, så tror jag, att den innehålles i följande: »Tiden synes nu vara inne för en sådan lagstiftning, som för medlem af svenska kyrkan möjliggör s. k. borgerlig begrafning (utan föregående jordfästniug), då behörigt intyg utvisar, att den aflidne i lifstiden själf förordnat eller uttalat bestämd önskan därom, eller, då fråga är om minderåriga, den aflidnes föräldrar sådant önska.&gt; Och med anslutning härtill har den ärade motionären betonat, att det bör finnas ärlighet i religionssaker. Men jag kan icke fatta konsekvensen i detta, ty om en person under sin lifstid tillhört statskyrkan och gjort detta med uppriktighet och ärlighet, så vill han väl underordna sig det begrafningssätt, som af denna kyrka är antaget i de bruk, som härvid komma till användning. Det är just de statskyrkomedlemmar, som icke önska att blifva begrafna enligt den ordning, som statskyrkan antagit, som motionen afser att befria från en dylik begrafningsceremoni. Jag tycker, att detta innebär något, som är motsatsen till den ärlighet, som man säger sig vilja åtstadkomma genom förslaget, att personer, som tillhört statskyrkan, icke skulle komma att begrafvas i öfverensstämmelse med den ordning, som i statskyrkan är gällande för begrafning.</w:t>
        <w:br/>
        <w:br/>
        <w:t>Nu har också kraftigt betonats, att tomma ceremonier böra aflägsnas, därför att de måste verka stötande. Men det är nog så, att, hvari nu än den religiösa känslan må bestå, dess ursprungliga värde väl icke är beroende af yttre ceremonier; men det har väl alltid varit så, att ceremonier inom hvarje religiöst samfund vid olika tillfällen tillämpats.</w:t>
        <w:br/>
        <w:br/>
        <w:t>Och jag undrar, huru det skulle gå till — det framgår icke af motionen — om icke några som helst ceremonier skulle föreskrifvas vid en</w:t>
        <w:br/>
        <w:br/>
        <w:t>begrafning, arrangerad på sätt som motionären tänkt sig den. Det är är väl knappast tänkbart, att, om denna frihet skulle lämnas, det skulle finnas personer, så kvalificerade, att de utan föreskrifter med afseende på ceremonier af egen drift skulle vara sinnade och skickade att på ett</w:t>
        <w:br/>
        <w:br/>
        <w:t>värdigt sätt förrätta jordfästningen. Jag befarar, att former skulle 4ng. rätt kunna tillämpas, som mera stötte de närvarande än de former, som för väst att äro legalt fastställda. förrätta Så sade motionären, att, om man skulle invänta resultatet af den skrifjordfästning velse, som lagutskottet åberopat som skäl för afslagsyrkandet, det skulle = m.m. dröja länge, innan man kom till något resultat. Men det är ju en (Forts) hemställan om utredning, som den ärade motionären gjort, och jag vet icke, huruvida det finnes utsikt för, att den skulle afslutas fortare, om man går den väg, som motionären tänkt sig, än om man går den, som utskottet påpekat. I båda fallen anhåller man ju, att Kungl. Maj:t skulle taga denna sak under öfvervägande och söka komma till något resultat. Motionären har uppläst en tidningsartikel af doktor Fries, däri han uttalat sitt ogillande af en sådan anordning, som i motionen är framställd. Jag vill endast uttala, att doktor Fries ju är ansedd som en mycket tolerant man, och jag vill tro, att man kan vara öfverens därom, att hans uppfattning icke går 1 sådan riktning, att de, som önska större frihet på dessa områden, ha anledning att polemisera just mot doktor Fries uppfattning. Detta är något som jag anser, alt man bör fästa sig vid. Motionären har icke på något sätt angifvit, huru han tänkt sig,att en borgerlig begrafning, sådan han önskar den, skulle tillgå, eller om inga former alls skulle komma till användning. Detta anser jag hade varit behöfligt, då man nu med afseende på begrafning vill ändra det sätt, som för närvarande tillämpas inom statskyrkan. Beträffande det citat, som förekommer i motionen, så hänför ju detta sig till förhållanden i Bohuslän. Jag vill icke beröra detta, då den ärade motionären vidgått, att detta citat icke var riktigt. Men jag vill säga, att den omständigheten, att denna sak icke lagts till grund för motionen, förringar icke olämpligheten af, att citat användts i en riksdagsmotion rörande sådant, som icke är med verkliga förhållandet öfverensstämmande. Jag anser detta så mycket mindre vara lämpligt, som citatet skett på ett sådant sätt, att därigenom misstänkliggöres en persons ställning till en annan social fråga, som man kan säga vara brännande, nämligen nykterhetsfrågan. Under sådana förhållanden tycker jag icke, att det varit tillräckligt med att blott säga: i detta fall har jag gjort mig skyldig till ett förbiseende, men saken är utan betydelse, emedan jag icke byggt min motion därpå. Jag har icke kunnat underlåta att påpeka detta, därför att jag anser, att, när man åberopar sig på något i ett sådant fall som detta, det bör vara fullt korrekt. På grund af hvad jag anfört, skall jag be att få yrka bifall till utskottets förslag. Jag gör detta således särskildt därför att man icke pekat på något sätt, bvarpå den borgerliga begrafningen skulle försiggå, och äfven därför att jag tycker det vara högst olämpligt att tänka sig, att en person, som tillhört statskyrkan under hela sin lifstid, icke skulle begrafvas efter statskyrkans antagna bruk och ordning.</w:t>
        <w:br/>
        <w:br/>
        <w:t>Jör an ärade talaren åberopade till stöd för sin kritik af motionen. Han anän präst att</w:t>
        <w:br/>
        <w:br/>
        <w:t>märkte för det första, att motionären icke gifvit till känna, på hvilket sätt han tänkt sig, att en sådan borgerlig begrafning skulle gå till. Den invändningen är lätt att svara på. Motionären har icke sagt detta och behöfver icke säga det, ty det är icke nödvändigt, att den saken står i lagen, när man i alla fall, såsom motionären antydt, velat i lagen fastslå, att vid dylika så kallade borgerliga begrafningar icke skulle få förekomma något, som kan väcka anstöt eller förargelse. Det förefaller vid sådant förhållande, som om den, hvilken tillhör ett samfund, som förrättar begrafning på ett visst sätt, icke skulle behöfva så mycket bekymra sig om, huru andra med honom oliktänkande anordna den saken.</w:t>
        <w:br/>
        <w:br/>
        <w:t xml:space="preserve">Det andra skälet, som den föregående ärade talaren åberopade, var, att han icke kunde finna att det var lämpligt eller ärligt och riktigt, att, om någon hela sitt lif hade tillhört statskyrkan, han skulle efter sin död bli begrafd på annat sätt än enligt statskyrkans ceremoniel. Om jag fattade talaren rätt, så menade han, att den omständigheten, att en person faktiskt tillhört statskyrkan, utgjorde ett bevis för att det äfven varit hans uppriktiga önskan att tillhöra </w:t>
      </w:r>
      <w:r>
        <w:rPr>
          <w:b/>
        </w:rPr>
        <w:t>henne²</w:t>
      </w:r>
      <w:r>
        <w:rPr>
          <w:b w:val="0"/>
        </w:rPr>
        <w:t>. Men då har den ärade talaren glömt, att för närvarande är det så, att många nödgas tillhöra statskyrkan, oaktadt de i sitt hjärta icke vilja göra det. 'Ty en person har icke rätt att utträda ur statskyrkan utan att uppge annat trossamfund, till hvilket han vill öfvergå, och om han icke har något sådant samfund att uppgifva, måste han stanna kvar. Detta trodde jag den ärade talaren visste.</w:t>
        <w:br/>
        <w:br/>
        <w:t>Hvad för öfrigt denna motion angår, är det icke att förundra sig öfver, att den sårat en del ömtåliga och känsliga sinnen. Det är lätt att förstå, att den, som för sin del finner något vackert och tröstrikt uti det kyrkliga begrafningsceremonielet och som skulle gräma sig, ifall han nödgades begrafva sina egna kära utan att använda detsamma, skall känna sig förstämd eller till och med upprörd öfver att ett sådant förslag som detta kunnat framställas. Det får man icke undra på, men hvad man kan begära är, att de, som sålunda känna sig förstämda eller upprörda, i alla fall icke skola af sin känslostämning låta sig förhindras att reflektera öfver hvad saken egentligen gäller. Om de göra det, måste de väl säga sig, att det icke allenast är möjligt, utan äfven faktiskt, att det finnes många människor, som icke dela deras åskådning i religiösa ting; och de måste vidare säga sig, att om det å ena sidan är sant, att det kyrkliga begrafningsceremoielet är vackert och ägnadt att trösta de sörjande, så är det också å andra sidan sant, såsom den förste ärade talaren kraftigt har framhållit, att denna ceremoni dock till sist endast är en form, som får sitt egentliga värde genom det innehåll, som gjutes uti densanima af dem, som deltaga i likbegängelsen. Saknas detta innehåll, blir formen tom. Om man påbjuder, att formen det oaktadt skall användas, och den sedan användes med pretention på att ha ett innehåll, som den saknar, kan jag icke finna annat, än att man påbjuder hyckleri. Vår lagstiftning har ju redan i åtskilliga andra fall intagit den</w:t>
        <w:br/>
        <w:br/>
        <w:t>ständpunkten, att den icke vill påbjuda kyrkliga former, där dessa icke Ang. rätt</w:t>
        <w:br/>
        <w:br/>
        <w:t>ha innehåll. Hvarför skall man då göra det på detta område? för ENA Den föregående ärade talaren har enligt min tanke icke påvisat, rolla</w:t>
        <w:br/>
        <w:br/>
        <w:t>hvarför ett bifall till det nu föreliggande förslaget skulle innebära jordfästning</w:t>
        <w:br/>
        <w:br/>
        <w:t>något från kyrkans synpunkt sedt farligt, Jag håller tvärtom före, — mm.</w:t>
        <w:br/>
        <w:br/>
        <w:t>att många verkligt religiösa personer helt säkert icke ha något att &lt;(Forts.)</w:t>
        <w:br/>
        <w:br/>
        <w:t>invända mot den tanke, som higger till grund för denna reform, och</w:t>
        <w:br/>
        <w:br/>
        <w:t>då jag för min del anser den tanken riktig, ber jag, herr talman, att</w:t>
        <w:br/>
        <w:br/>
        <w:t>få yrka bifall till herr Kjellbergs motion. i</w:t>
        <w:br/>
        <w:br/>
        <w:t>I detta anförande instämde herr Olsson i Älfdalsåsen.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