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1143</w:t>
      </w:r>
    </w:p>
    <w:p>
      <w:r>
        <w:rPr>
          <w:b/>
        </w:rPr>
        <w:t xml:space="preserve">Datum: </w:t>
      </w:r>
      <w:r>
        <w:t>1910-04-27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Sandquist (–, man)</w:t>
      </w:r>
    </w:p>
    <w:p>
      <w:r>
        <w:rPr>
          <w:b w:val="0"/>
        </w:rPr>
        <w:t xml:space="preserve">Herr talman, mina herrar! Jag ber att få betyga, att jag önskat förstå, så långt sig göra låtit, deras mening, som är en annan än min; och jag önskar att vid det anförande, som jag här må hålla, på intet som helst sätt förvränga de åsikter, som äro annorlunda än mina. Jag ber också att få inledningsvis konstatera, att jag sedan två å tre årtionden tillbaka varit vän af att kyrkorna må upplåtas jämväl till andra ändamål än för rent gudstjänstbruk, och jag har erfarenhet af, att det i många församlingar icke mött något hinder att så skett. Sålunda har jag velat inför kammaren tydligt uttala min ståndpunkt härutinnan. Jag hör alltså icke till dem, som så hålla på kyrkans helgd, att de anse, att </w:t>
      </w:r>
      <w:r>
        <w:rPr>
          <w:b/>
        </w:rPr>
        <w:t>hon²</w:t>
      </w:r>
      <w:r>
        <w:rPr>
          <w:b w:val="0"/>
        </w:rPr>
        <w:t xml:space="preserve"> icke bör upplåtas ens för i sann mening uppfostrande föredrag för folket samt för den sköna musiken; och så sant, som jag har ledt sångöfningar i 30 års tid, har jag därvid också ådagalagt, att jag är vän af sång i kyrkorna. I så måtto råder för visso samförstånd mellan mig och den ärade motionären. Men det är dock icke så liten skillnad mellan våra åsikter. Då jag respekterar motpartens mening och har hört tyst och stilla på, då den här framförts, så önskar jag få tro, att jämväl motparten lämnar mig tillfälle att, så långt sig göra låter, få framlägga de skäl, som varit för mig bestämmande, då jag icke kunnat gå med på utskottets utlåtande. — Alltifrån början har jag ställt mig på den afslående ståndpunkten.</w:t>
        <w:br/>
        <w:br/>
        <w:t>Den ärade motionären håller före, att om musikaliska akademien, universitetens föreläsningsbyråer eller styrelsen för folkbildningsförbundet meddelat sin tillåtelse rörande ett program, som förelagts till pröfning, så skulle kyrkornas portar »ovägerligt&gt; öppnas för föredragshållare och sångsällskap, som ha sådant intyg. Jag kan icke underlåta att hålla före, att ett sådant anspråk är väl mycket långt gående; och jag tror, att om man vädjar till församlingarna i denna stund, så har jag majoriteten af Sveriges gudstjänstälskande folk på min sida. Och bland dem, som hålla på äganderätten till sina tempel, tror jag, att majoriteten afgjordt är på min sida, då jag uttalar denna förmodan.</w:t>
        <w:br/>
        <w:br/>
        <w:t>Det är ju så, mina herrar, att de svenska församlingarna i allmänhet själfva ha byggt sina kyrkor. Vi älska egna hem, vi älska att se de små stugorna i backarna; och de, som fått upp dessa stugor, ha sträfvat för detta mål, och de kalla dem sina. Ja, de må med rätta göra det, då de byggt upp dem med egna medel. Jag</w:t>
        <w:br/>
        <w:br/>
        <w:t>anser, att också äganderätten til flertalet af våra kyrkor bör vara så klar, som någonting kan vara klart. Församlingarnas äganderätt till kyrkorna hvilar enligt mitt förmenande på fullt rättslig grund, ty de ha själfva byggt dessa kyrkor.</w:t>
        <w:br/>
        <w:br/>
        <w:t>Bestrides den grunden, mina herrar, hvart skola vi då komma på tal om rättslig grund beträffande äganderätten? Då är den upphärfd.</w:t>
        <w:br/>
        <w:br/>
        <w:t>Det enda understöd, som de flesta svenska församlingar fått för byggandet af sina kyrkor, utgöres af de så kallade »stamboksmedlen» eller kollekter i Sveriges samtliga kyrkor. Men så ha de också fått vara med om att lämna tillbaks sådana stamboksmedel, då man äskat detta. Så är förhållandet med de flesta kyrkobyggnader, som uppförts på landet. Undantag måste gifvetvis göras för sådana kyrkor, som byggts af herrar patroner, eller sådana församlingar, där patronatsrätten är gällande. I hvarje sådan församling måste patronus i förening med församlingen anses såsom kyrkans rättmätige ägare. Det är nu min uppfattning af denna sak; och denna uppfattning har jag icke kunnat vika ifrån, och skall heller icke kunna vika ifrån densamma. Jag medger dock, att undantag må göras för de stora domkyrkorna i riket, ty de ha fått statsanslag till de restaurationer, som de undergått, men förhållandet är det af mig påpekade med flertalet af våra landskyrkor. Församlingarna ha själfva byggt dem och själfva underhållit dem, och då måste de med skäl kunna säga: kyrkorna äro vår egendom. I kungörelsen om »kollekt», som jag många gånger, såsom tillhörande kyrkobetjäningen, hört uppläsas i kyrkan, uppfriskas också rätt ofta församlingens medvetande om denna gjälfäganderätt. Ty det har i dessa kungörelser hetat: »kollekt upptages till församlingens egen — märk väl egen — kyrka». På landet äro kyrkans medlemmar sålunda alldeles vissa om, att kyrkan är församlingens egendom; ty de ha lefval sig in i den uppfattningen, beroende därpå, att antingen de själfva eller deras fäder ha byggt densamma. Skola vi väl kunna tänka oss möjligheten af, att kyrkobyggnader, som rests under tider, då våra fäder närde sig med barkbröd och blandade barkmjöl i den supanmat de förtärde, icke skola allt framgent betraktas såsom församlingarnes egna? «Skola vi kunna vara med om något så orimligt, som att dessa församlingar icke skola ha full äganderätt till sina kyrkor?</w:t>
        <w:br/>
        <w:br/>
        <w:t>Med denna min uppfattning kommer jag då öfver till spörsmålet om dispositionsrätten. Ha också församlingarna den samma lika okvald? Ja, det ha de, beträffande kyrkornas användning för gudstjänstbruk. Våra kyrkor äro ju byggda för det ändamålet, att där skall gudstjänst firas, och där skola också sakramenten förvaltas. Efter reformationens införande äro dock bestämmelserna något annorlunda rörande gudstjänstens firande än hvad de voro före densamma. Efter reformationens införande måste väl den grundsatsen vara gällande: »att evangelii rena lära, sådan den finnes förklarad uti</w:t>
        <w:br/>
        <w:br/>
        <w:t>den oförändrade augsburgiska bekännelsen och Upsala mötes beslut af år 1593», skall inom kyrkorna förkunnas. Jag hörde härom dagen här i kammaren, hurusom man uttalade pietet för Vadstena klostermurar, och jag må säga, att ehuru jag ingen anledning hade att i den debatten uppträda, så tilltalade mig dock det beslut, hvartill kammaren i denna fråga kom. Men då så är förhållandet, så bjuder väl konsekvensen, att man också har någon pietet för användningsrätten beträffande våra tempel.</w:t>
        <w:br/>
        <w:br/>
        <w:t>Om nu den dispositionsrätt eller begagnanderätt, som församlingarna ha öfver sina tempel, skall utsträckas något längre än till gudstjänstbruk, så är det beroende af särskildt medgifvande. Ticke omtvistliga fall ha församlingarna att genom sina kyrkoherdar utöfva denna dispositionsrätt; och i tvistiga fall hänskjutes frågan om rätten till kyrkornas upplåtelse till kyrkorådet eller kyrkostämman själf, eventuellt äfven till domkapitlet och i sista hand till Kungl. Maj:t. Frågan om dispositionsrätten är sålunda för mig tydlig och klar.</w:t>
        <w:br/>
        <w:br/>
        <w:t>Men då så är förhållandet, då framstår för mig det af motionären framburna förslaget, med anspråk på att staten skall stifta bestämda lagbud i syfte att de särskilda »myndigheter», som den ärade motionären namngifvit, skola utöfva oinskränkt supremati öfver kyrkan, såsom ett ohemult angrepp på församlingarnas ägandeoch dispositionsrätt.</w:t>
        <w:br/>
        <w:br/>
        <w:t>Utskottet har också till en viss grad delat denna min mening. Det har icke följt den ärade motionären i detta stycke. Men utskottet har, på grund därutaf att det icke nog accepterat församlingarnas äganderätt och icke heller lämnat det erkännande åt kungl. brefvet af den 1 Juni 1780 och Kungl. Maj:ts utslag den 9 November 1871, som dessa urkunder, enligt mitt förmenande, förtjäna, gått med på att förorda en skrifvelse till Kungl. Maj:t. Utskottet säger näml. härom — jag tillåter mig uppläsa detta stycke ordagrant: — »Lika litet upplysande är Kungl. Maj:ts utslag af den 9 nov. 1871, angående kyrkas upplåtande för kolportör; det ger åt hvarje kyrkoherde rätt att pröfva och bestämma, huruvida kyrka skall öppnas för kolportör, som där önskar hålla föredrag, men denna pröfning är naturlig redan ur den synpunkten, att kolportören ingriper på kyrkoherdens speciella ämbetsområde, den religiösa förkunnelsen, och den säger i och för sig intet om rätten att för öfrigt upplåta kyrkorna.» Emellertid har utskottet så uppfattat detta Kungl. Maj:ts utslag, att det håller före, såsom helt »naturligt»&gt;, att om föredragshållare med sina föredrag ingriper i kyrkoherdens speciella ämbetsåliggande, då äger församlingens pastor rätt att vägra tillträde till kyrkan — så mycket är fastslaget.</w:t>
        <w:br/>
        <w:br/>
        <w:t>Mina herrar, det må då tillåtas mig spörja, om den nutida moderna folkbildningsrörelsen till sin innebörd är sådan, att den står i öfverensstämmelse med pastors ämbetsåliggande. Jag vågar betvifla det. Jag skall endast be att få vidröra några ämnen, som</w:t>
        <w:br/>
        <w:br/>
        <w:t>föreläsare i detta fall kunna komma att välja. Jag skall härvid försöka göra det så opartiskt som möjligt. En föreläsare kan sålunda komma att hålla föredrag öfver, låt mig såga, ämnet: »härstamningsläran». Om föredragshållaren skall på ett modernt sätt utveckla detta sitt ämne, förmodar jag, att han härleder människans ursprung ifrån urcellen, som existerade för miljoner tal af år tillbaka. Icke sant? Jo, jag har själf läst, att det så gått till, och man har äfven att vänta att så framdeles kommer att tillgå. Och enligt »utvecklingslärans» innebörd, hvad blir slutresultatet af det hela? Hvad är människans »högsta och sista mål»? Månne, som Moleschott säger, att »bli gödsel»? Jag hemställer, om föreläsningar för folket med sådant innehåll kunna anses stå i samklang med pastors ämbetsåliggande. Ingalunda!</w:t>
        <w:br/>
        <w:br/>
        <w:t>Många andra exempel skulle jag kunna anföra. TI våra dagar, då »hädelseläran» har blifvit gjord till ett aktuellt ämne, må nu tagas ett exempel. Vi veta, mina herrar, att man behandlat detta ämne, och att man vid behandlingen däraf funnit lämpligt att framställa nya testamentets och den kyrkliga lärans innebörd med hänsyn till Jesu mandomsanammelse såsom en den mörkaste och svartaste hädelse mot det högsta väsendet, som tänkas kan. Kunna väl sådana föreläsningar sägas stå i samklang med en evangeliiförkunnares ämbetsåliggande? Vi måste, mina herrar, se saken sådan den är, och den är verkligen sådan, som jag här framställt den.</w:t>
        <w:br/>
        <w:br/>
        <w:t>Jag skall förbigå hvad jag ytterligare härvid ämnat säga och skall inskränka mig till att beröra några ämnen, hämtade ur den högt ärade motionärens egen motivering till motionen.</w:t>
        <w:br/>
        <w:br/>
        <w:t>Skulle sålunda icke en föreläsare kunna ta till motto »bigott fanatism», — &gt;»nutidens uppfattning om den bigotta fanatismen» eller något liknande? Eller skulle han icke kunna ta till ämne för sin föreläsning: »ljusskygg bigott obskurantism&gt;? Ar icke detta, mina herrar, anslående ämnen? Jag tillåter mig bara &gt;citera&gt;, jag är icke partisk. Eller skulle icke en föreläsare i den moderna stilen kunna komma att tala om &gt;»vår tids andliga försoffning och efterblifvenhet&gt;? Jo, visserligen! Och hvilka skulle väl uti sådana föredrag i den moderna stilen komma att bränmärkas såsom bigotta fanatister, såsom bigotta, ljusskygga obskurantister och efterblifna människor, hvilka, frågar jag, om icke just de enskilda personer, de kyrkliga myndigheter och de missionsstyrelser, som nitälska för att få behålla de hus i »helgd&gt;, som blifvit byggda först och främst för gudstjänstliga ändamål? Jo, de skulle förvisso bli så brännmärkta; och ifall samma lott skulle komma mig till del för mitt rättframma anförande här, skall jag med största jämnmod taga emot densamma.</w:t>
        <w:br/>
        <w:br/>
        <w:t>Nu i dessa dagar bedrifves en rörelse icke minst inom Stockholms hank och stör, hvilken rörelse verkligen borde komma hvarje fosterlandsälskande människas hjärta att djupt vibrera, då den till sin uppgift gjort att förkunna preventivismens läror. Dessa läror</w:t>
        <w:br/>
        <w:br/>
        <w:t>ha visserligen ännu icke vunnit burskap i vårt land, men tyvärr kanske de komma att göra det. Och när dessa läror ha vunnit burskap i likhet med många andra vidunderliga samhällsförstörande läror, och när de ha vunnit för sig en majoritet, som känner sig stark nog att hafva mod att förhåna, afhåna och förlöjliga allt, som man tycker sig icke kunna vara med om — när man nått en sådan ståndpunkt, ja, då kunna väl också apostlarna, d. v. s. förkunnarna af dessa läror, en dag komma och säga: »DLåt dina portar upp&gt;.</w:t>
        <w:br/>
        <w:br/>
        <w:t>Nu äro vi nog lyckliga, mina herrar, att hafva skydd häremot, och om vi anse, att vi icke hafva nog frihet i fråga om kyrkornas upplåtande, — hafva vi dock den utväg att, om pastorn visar sig alltför omedgörlig i denna fråga, lita till kyrkorådet, och från kyrkorådet till kyrkostämman, och från kyrkostämman kan man, om man icke är belåten med dess beslut, vädja till domkapitlet, och från domkapitlet slutligen kan man vädja till Kungl. Maj:t. Men, säger man, det är ej säkert, att under nuvarande förhållanden kyrkostämmans beslut kan öfverklagas. Häromdagen gjorde en vän till mig den anmärkningen, att om ett sådant beslut på kyrkostämma fattats, att kyrkan icke skall upplåtas för folkbildningsändamål, så kan ett sådant beslut icke öfverklagas. Jo, förvisso! Och därpå länder ju detta utslag, som jag löst från kungl. ecklasiastikdepartementet, såsom ett alldeles ovedersägligt bevis. Ty enligt hvad som förekommer i detta utslag, afslogs en dylik begäran först af kyrkorådet, och sedan afslogs den jämväl af kyrkostämman; man klagade därefter inför domkapitlet. Domkapitlet fastställde hvad som pastor och kyrkorådet och kyrkostämman hade beslutat. Sedan klagade man öfver detta domkapitiets utslag. Och så fastslog vår manhaftige konung Carl XV i förening med sin närmaste rådgifvare, statsrådet Wennerberg, detta beslut. Han godkände det och öfverlämnade sålunda i pastors (och församlingens) hand att efter förhandenvarande förhållanden öppna eller tillsluta kyrkan — märk väl, »vid hvarje särskildt förekommande tillfälle pröfva och bestämma». Jag dristar tro, att Sveriges Konung sin höga kallelse likmätigt och såsom svenska kyrkans summus episcopus skall, jämlikt regeringsformens 2 8, veta att häfda den ståndpunkt, som Carl XV i förening med dåvarande statsråd häfdade — att således Sveriges Konungar allt framgent i förening med sina närmast varande statsråd skola häfda samma ståndpunkt.</w:t>
        <w:br/>
        <w:br/>
        <w:t>Jag vågar därför, på grund af hvad jag anfört, bestämdt vara af den mening, som jag här uttalat, nämligen den: i vanliga fall hafva församlingarne dispositionsrätt öfver kyrkorna, utöfvad genom sina pastorer, och i stridiga fall genom kyrkorådet, kyrkostämman, domkapitlet och Kungl. Maj:t. Linjerna äro alltså enligt mitt förmenande fullkomligt klara; vi behöfva sålunda icke gå och famla i mörker om den väg, som vi skola gå: Aganderätten och dispositionsrätten är nöjaktigt klar.</w:t>
        <w:br/>
        <w:br/>
        <w:t>Af den anledning har jag tillåtit mig att yrka rent afslag å Angående motionen, och jag gör det också nu samt yrkar på samma gång ST TEgeE afslag på det föreliggande utskottsbetänkandet. för folkbild-</w:t>
        <w:br/>
        <w:br/>
        <w:t>bildningsarbetet, trots all önskvärd uppmuntran från såväl Riksdagen som från ett stort antal kommunala myndigheter, att lämpliga lokaler ofta saknats för denna verksamhet. Och i långliga tider ha utöfvarna af folkbildningsarbetet, särdeles där detta framträder såsom populära föreläsningar, haft all anledning att vara tacksamma mot nykterhetsorganisationerna och de frikyrkliga organisationerna, som så ofta stått till tjänst med den ena eller andra ortens enda lämpliga lokal. Det ser emellertid på de senare åren ut, som om svårigheter härvidlag skulle yppa sig. Och vi hafva här i dag under debatten i detta ämne på förmiddagen hört talas om en resolution, som det .svenska missionsförbundets styrelse utfärdat i afseende å den försiktighet, som vederbörande borde iakttaga vid upplåtandet utaf sina kyrkolokaler. Det är alldeles gifvet, att man, såväl när det gäller musikaliska prestationer som i fråga om föreläsningar, kommer in på frågan om hvad som är förenligt med det kyrkliga rummets helgd och hvad som står i öfverensstämmelse med eller hvad som står i strid med det, som bör förekomma i en kyrka.</w:t>
        <w:br/>
        <w:br/>
        <w:t>Jag skall då, innan jag går vidare, berätta en liten historia ur lifvet, som jag själf under min ganska långa verksamhet såsom populärföreläsare har erfarit. En gång långt uppe i Värmland, där folket aldrig hade hört andra föredrag än religiösa, kom jag en gång och höll några föreläsningar; en af dem handlade om cell-läran, om cellen såsom byggnadsmaterial för den lefvande kroppen. Bland åhörarna märkte jag en medelålders man, som med spändt intresse följde min föreläsning hela tiden. Jag framhöll i det föredraget bland annat, hurusom vetenskapen allt mer och mer blir öfvertygad om det lagbundna uti världsalltet, och huru det blir för vetenskapen allt mer och mer klart och tydligt, att sanning och lagbundenhet äro olika sidor af samma sak. Jag visade dessutom, hurusom uppfattningen om en bestämd lagbundenhet utesluter hvarje föreställning om ett nyckfullt ingripande i den lagbundna utvecklingen, äfven om vi ingalunda kände denna till fullo. Jag erfor sedan, att denne mycket intresserade åhörare var ledare för en religiös sekt där på platsen, och att han själf var en mycket religiös man. Jag träffade honom dagen därpå och ville då göra mig underrättad om, hvilket intryck mitt föredrag hade gjort på honom, då jag väl kunde förstå, att från religiöst håll det, som jag nu helt kort refererat, möjligen skulle kunna väcka opposition. Och jag tror, att de af herrarna, som äro rädda för blotta namnet naturvetenskap såsom föreläsningsämne i kyrkorna och missionshusen, skola hafva något att lära af hvad denne verkligt fromme och religiöst intresserade man svarade mig, då jag frågade: hvad säger ni om mitt föredrag i går. Han</w:t>
        <w:br/>
        <w:br/>
        <w:t>svarade följande ord: &gt;»vet ni, jag har i all min tid trott mycket högt om Gud, men efter föredraget i går har jag lärt mig, att jag har ofantligt mycket mera att tro om denne Gud». Jag berättar denna lilla historia ur lifvet för att visa — hvad jag också tror — att på hvilken väg vi än arbeta oss fram till sanningen, och huru vi än gå fram 1 ärlig sträfvan för att komma till sanningen, så skola vi alla finna, att vi så småningom nå samma mål, och att således en vetenskaplig föreläsning kan gifva djupt religiösa och från all vetenskaplig bildning fria personer någonting, som just deras hjärtan behöfva och som de finna såsom något nytt, hvilket ytterligare stärker dem i deras uppfattning om det högsta godas, det högsta sannas, det högsta skönas idé, med andra ord: om Gud.</w:t>
        <w:br/>
        <w:br/>
        <w:t>Då herr Meurling i förmiddags påstod, att vissa personer — och man förstår nog, hvilka han menade — skulle sätta likhetstecken mellan å ena sidan gudsfruktan, kristendom och Kristi efterföljelse samt, å andra sidan, obskurantism och bigotteri, så tror jag icke, att herr Meurling har rätt att påstå något sådant. Det är väl ingen, som, såvidt jag vet, någonsin har påstått eller velat sätta likhetstecken mellan verklig kristendom, mellan kristendomens idé, mellan Kristi efterföljelse, å ena sidan, samt obskurantismen, å den andra. Nej, obskurantismen är någonting helt annat. Det är den riktning, som fruktar ljuset; det är den riktning, som ej vågar låta sina begrepp och sina idéer, för att icke säga sina dogmer, komma fram i allsidig belysning. De kallas för obskuranter, som viija hålla sig i dunklet, därför att de äro rädda för ljuset. Men aldrig har någon kallat sträfvan efter Kristi efterföljelse hvarken för obskurantism eller för bigotteri. Säkert är det, att den fromma enfalden, den vill ingen åt. Den måste lämnas i fred. Och vi måste skänka den våra sympatier, där den är ärlig. Men det finnes mycken enfald, som kallar sig för from, och som hvarken är from eller ärlig. Och detta visar sig däraf, att de, som jämt föra talet om enfaldens suveräna betydelse, de använda sig aldrig af den, då det gäller dem gjälfva i världsliga ting. Då vakta de sig väl för att låta enfalden föra spiran. Och det har mer än en gång visat sig, ja, vi kunna säga i det dagliga lifvet tid efter annan, att just dessa personer hafva mot oss — som sökt göra så att säga så många människor som möjligt delaktiga af det lilla, vi kunnat hämta ur vetenskapen och kulturens skattkammare — anfört, att enfalden, den stora heliga enfalden, den skall regera. Men sedan, när det gällt dem själfva, i deras världsliga bestyr, när det gällt jordisk vinning, då har där icke funnits ett spår af enfald hos dem.</w:t>
        <w:br/>
        <w:br/>
        <w:t>Jag vill vidare säga något annat, och det är detta, att när man talar om de många fromma och verkligt religiösa, som kunna såras af det ena eller andra föredraget, så är jag fullkomligt enig om, att så stundom sker. Det är emellertid ej blott så, att människorna i skilda trakter af vårt land i detta afseende äro olika, utan äfven de skilda åldersperioderna äro äfvenledes olika, och om</w:t>
        <w:br/>
        <w:br/>
        <w:t>ett föredrag verkar på ungdomen så, som mitt föredrag verkade på den mannen i Värmland, som jag nyss talade om, och hvilken utaf den naturvetenskapliga föreläsning, som jag där höll, fick sitt gudsbegrepp fördjupadt, så kan jag dock förstå, att äldre människor, hvilka icke hafva intresse och tillräckliga krafter för att tillgodogöra sig något nytt, i stället blifva sårade af hvad som säges. Men många gånger är det på det sättet, att där en samling människor, äldre och yngre, hafva varit nöjda med ett vetenskapligt föredrag och ej haft något att anmärka, där komma sedermera deras ledare såsom agitatorer och säga: nu ha ni hört någonting farligt och dåligt; den mannen och hans föreläsningar skola ni vara rädda för.</w:t>
        <w:br/>
        <w:br/>
        <w:t>Jag skall nu taga fram ett autentiskt bevis för att hvad jag sagt är riktigt. Af Svenska Morgonbladet hedrades jag såväl i november och december förra året som äfven i januari månad i år af själfva märket P. W. med fera artiklar under rubrikerna »Religionsfientliga föreläsningar under neutral mask&gt;, »Kristusfiendtlig propaganda» 0. s. v. i samma älskvärda ton. Jag hade nämligen föreläst dels vid en »nykterhetskurs i Falun, dels hållit en serie föredrag i Göteborg, där man för mina föreläsningar hade hyrt baptistförsamlingens tabernakel, en stor och rymlig lokal. Det var bl. a. ämnet för mina Göteborgsföredrag, som afhandlades i artiklarna, de rörde sig om själslifvet från utvecklingslärans synpunkt. Redan en talare här i afton har nu visat oss, att man behöfver bara säga ordet utvecklingslära, så är det genast färdigt. Då veta alla, att det är något, som man måste stå emot. Det blef alltså ett förfärligt väsen i Svenska Morgonbladet mot den församling i Göteborg, som upplåtit lokal. Enligt hvad märket P. W. skrifver här, så hade han erhållit bref från församlingens föreståndare, pastor Truvé i Göteborg, som förklarade, att troende personer, som åhört föredraget, sagt honom, att de.»icke funnit något afskyvärdt eller oriktigt däri». Hvad svarade då P. W., Svenska Morgonbladets P. W., för att icke säga Svenska Morgonbladets påfve, hvad svarade han i sina artiklar? Jo, han svarade följande till denna församling i Göteborg: &gt;»Att troende kristna, som åhört denna föreläsning om utvecklingsläran, icke funnit något afskyvärdt och oriktigt däri, det vittnar allt annat än godt om deras egen andliga ståndpunkt». 9Således, en ledare med den stora betydelse, som P. W. har i vårt land å detta område, går till väga så, att när en församling af troende inför församlingens föreståndare förklarat, att ett föredrag icke innebär något anstötligt, få de en påflig bulla af innehåll, att denna deras uppfattning endast bevisar deras egen låga ståndpunkt.</w:t>
        <w:br/>
        <w:br/>
        <w:t>Vidare anmärkte man i Svenska Morgonbladet, att jag vid nykterhetskursen i Falun hade — då jag alldeles i förbigående talade om människornas olika uppfattningar uti de stora lifsfrågorna under olika tider och därvid framhöll, hurusom man nuförtiden icke såge en enda människa gråta öfver, att det kopernikanska solsystemet läres i skolorna — uttalat som min uppfattning, att den</w:t>
        <w:br/>
        <w:br/>
        <w:t>tiden troligtvis icke vore långt aflägsen, då äfven den moderna utvecklingsläran trängt in på skolprogrammet, om det också komme att dröja åtskilliga decennier, innan det skedde. Som stöd för denna min uppfattning — och det ber jag särskildt den siste ärade talaren observera — framdrog jag följande. Bland de ämnen, som från kungl. ecklesiastikdepartementet utgåfvos år 1908 för den svenska skrifningen i mogenhetsexamen, förekom äfven detta ämne: &gt;De viktigaste bevisen för härstamningsläran&gt; — och detta var under en departementschef, som hette Hammarskjöld. Jag vågar att till dem, som frukta för härstamningslärans upptagande på skolprogrammet, framställa den frågan, hvad de säga om detta och om den förfärliga tid, som inbröt öfver vårt land i det ögonblick, då statsrådet Åke Hugo Hammarskjöld kunde låta ett sådant ämne föreläggas för Sveriges blifvande studenter. Detta framhöll jag i ett af mina föredrag, och det var detta, som sedermera gat märket P. W. anledning att förklara, huru omöjlig jag var och att jag naturligtvis borde förbjudas att öfver hufvud taget föreläsa, detta därför att man fick höra, »att människan icke är skapad af Gud, utan är en genom utveckling från ett lägre djur, låtom oss säga en apa, tillkommen varelse.» Jag hade emellertid vid ifrågavarande tillfälle icke yttrat något om utvecklingslärans innehåll; som bekant, omfattar den ganska olika riktningar. Jag har velat meddela detta för att visa, hurusom i ett fall, där en troende församling icke funnit något anstötligt i ett föredrag, utan ansett, att det icke fanns något att anmärka mot detsamma, vare sig i form af hån, begabberi, irrlära eller dylikt, den mäktige sektledaren blott säger, att detta berodde på deras egen låga andliga ståndpunkt. Och så slutar märket P. W. med en liten fabel för att med en liknelse visa mitt förhållande till församlingen i fråga. Han berättar om en räf, som kom in bland en skara höns och bad dem att icke vara rädda. Hönsen protesterade emellertid och sade, att räfven vore ett rofdjur, men denne svarade: »Vi rofdjur ha kommit öfverens om att icke göra någon skada. Kom därför ned, vi skola vara tillsammans!» Ja, hönsen kommo ned, räfven bet ihjäl dem allesammans, och så heter det till sist: »Låt oss icke vara några höns! P. W.&gt;» Ja, mina herrar, så slutar den artikeln. Jag förstår mycket väl, att när P. W. här talar om mig, använder han icke beteckningen räf i någon vidare vacker betydelse. — Så inträffade någon månad senare, att jag skulle ned och föreläsa i Huskvarna. Därvarande missionshus hade blifvit upplåtet för min föreläsning, som hade till ämne: »Nykterhetsrörelsens kulturvärde.»&gt; Då jag anlände till platsen, mottog jag några exemplar af Jönköpingsposten, som fem dagar å rad varnat befolkningen för mig — hvilket förmodligen i någon mån bidrog till åhörarskarans talrikhet. Tidningen i fråga hade, som sagdt, i fem nummer efter hvarandra varnat för mig och förklarat, att jag svikit löften, som jag gifvit, om att icke vidröra ömtåliga ting, och att man därför aldrig kunde tro på mig. Jag</w:t>
        <w:br/>
        <w:br/>
        <w:t>hade aldrig affordrats, än mindre afgifvit några löften af dylik art, och jag hade icke heller tänkt vidröra några »ömtåliga ting.» Missionshuset hade emellertid blifvit upplåtet. När jag kom in i detsamma, trädde föreståndaren för ortens föreläsningsförening fram emot mig och sade: »&gt;Jag har ett mycket ömtåligt och delikat uppdrag att framföra; jag måste nämligen be doktorn om . ..&gt; Jag afbröt honom med orden: »Ni behöfver icke fortsätta, ty jag har redan läst Jönköpingsposten och försäkrar, att Ni kan vara fullkomligt lugn.» Nu tror jag nog, att det var en och annan af publiken, som kände sig besviken efter föredraget, då de nämligen — tack vare Jönköpingsposten — måhända hade hoppats att få höra något riktigt rackartyg. Emellertid hade man gjort så stort nummer af min ankomst till orten, att man för Jönköpingspostens räkning anskaffat en artikel af själfva P. W. Denna artikel slutade också med en fabel, men där liknades de troende vid får och jag vid en varg. Hvarför det icke äfven i Huskvarna (inom Tveta härad) ansågs lämpligt att likna mig vid en räf, har jag mycket funderat på. Men jag skall nu icke fördjupa mig i några grubblerier öfver, hvarför P. W. där nere använde ordet »varg», när han kanske menade »Räf&gt;.</w:t>
        <w:br/>
        <w:br/>
        <w:t xml:space="preserve">Hvad jag nu velat fästa uppmärksamheten på är, att detta ständiga tal om, att man sårar de fromma, de verkligt fromma genom föredrag, icke håller streck; åtminstone är detta min erfarenhet. Jag erinrar mig från ett annat tillfälle, då jag hållit ett föredrag om naturens lagbundenhet, hurusom en gammal </w:t>
      </w:r>
      <w:r>
        <w:rPr>
          <w:b/>
        </w:rPr>
        <w:t>kvinna¹</w:t>
      </w:r>
      <w:r>
        <w:rPr>
          <w:b w:val="0"/>
        </w:rPr>
        <w:t xml:space="preserve"> sade följande ord: »Det var verkligen roligt att höra en medicine doktor hålla ett föredrag, som gick i kristlig anda.» Jag menar sålunda, att om det icke funnes vissa agitatorer, som, efter det föredragen vore hållna, kunde göra sig ett slags andlig reveny genom att varna för föreläsaren i det och det ämnet, så tror jag, att de verkligen religiösa mycket sällan om någonsin skulle taga anstöt af de föreläsningar, som hållas, äfven om deras tidningspress efteråt innehåller mer eller mindre sanningsenliga upplysningar om hvad som förekommit i föredraget.</w:t>
        <w:br/>
        <w:br/>
        <w:t>Frågan om hvilka personer, som för närvarande böra få föreläsa i statskyrkolokalerna, synes för öfrigt i hög grad omtvistad. Detta kunna vi se däraf, att det då och då förekommer i tidningarne meddelanden om, hurusom den ena statskyrkoprästen stänger sin kyrka för den andra —-- detta hände förra året två eller tre gånger. Vissa statskyrkopräster själfva äro alltså icke betrodda att hålla föredrag i en och annan kyrka om t. ex. nykterhetsfrågan eller dylikt. Men på många håll stänger man äfven skolsalarna för föreläsarne, detta på grund af inflytande från samma håll, hvarifrån budet om kyrkornas stängning utgår. Men det är ju högst betänkligt, att icke den bildningstörstande ungdomen skall ha något ställe, där den kan samlas och där den kan få åhöra ett godt föredrag. Hvad är väl i själfva grunden skillnaden mellan dessa</w:t>
        <w:br/>
        <w:br/>
        <w:t>Man har så många gånger sagt, att undervisningen vid folkbildningsarbetet skall vara neutral. Det är ju klart, att det måste vara så i en mening, men vi skola å andra sidan komma ihåg, att hvarje undervisning, som meddelas utan att föreläsaren där inlägger sin personlighet, den undervisningen blir aldrig af något djupare värde.</w:t>
        <w:br/>
        <w:br/>
        <w:t>Till sist vill jag säga, att där vi sålunda sträfva efter att hvar och en efter sina krafter och med de kunskaper han har utbreda sanningens ljus och på alla de vägar, där dess brutna strålar kunna nå människorna, verkligen söka anamma sanningen, där sträfva vi i grund och botten till samma mål. När biskop von Schéele i dag talade om templens byggande till Guds ära, vill jag endast säga, att dessa orden »till Guds ära» ha under olika tider ägt en i högsta grad skiftande innebörd. De orden skrefvos en gång öfver inkvisitionen, de skrefvcs en gång öfver kättarbålen, och dessa ord till Guds ära» ha skrifvits öfver mycket, som senare födda släkten ha funnit vara till allt annat än till Guds ära. Men säkert är, att öfverallt, där vi söka sanningen, öfverallt där människorna ärligt sträfva att komma mot ljuset och anamma det, äfven om dess strålar äro spridda och brutna, öfver all sådan verksamhet och öfver all sådan sträfvan må vi sannerligen, äfven om vi disputera om dogmer och formler och om hvad vi mena med det ena eller andra begreppet, likväl kunna skrifva orden »till Guds ära», om vi bakom ordet &gt;Gud&gt; skymta ljusets, sanningens och rättfärdighetens idé.</w:t>
        <w:br/>
        <w:br/>
        <w:t>Herr talman! Jag anhåller att få yrka bifall till utskottets hemställan.</w:t>
      </w:r>
    </w:p>
    <w:p>
      <w:pPr>
        <w:pStyle w:val="Heading2"/>
      </w:pPr>
      <w:r>
        <w:t>2. Knut Henning Gezelius von Scheele (–, man)</w:t>
      </w:r>
    </w:p>
    <w:p>
      <w:r>
        <w:rPr>
          <w:b w:val="0"/>
        </w:rPr>
        <w:t>Då det ej torde vara alltför förmätet af mig att räkna på något erkännande att hafva under ett långt lif</w:t>
        <w:br/>
        <w:br/>
        <w:t>sökt efter förmåga tjäna toleransens heliga sak på samma gång som sanningens och ljusets, vågar jag taga i anspråk kammarens tolerans för ytterligare några ord i denna fråga, som har fått större räckvidd, än kanske någon från början anade.</w:t>
        <w:br/>
        <w:br/>
        <w:t>Hvad som af den siste ärade talaren anfördes liksom äfven hvad som yttrades af ordföranden i utskottet synes mig lida af ett gemensamt stort fel. Jag vill nu helt och hållet låta fara, hvad jag under anförandena här i afton antecknat och som jag tänkt att bemöta, och blott hålla mig till detta enda fel, på det att hvad jag därom har att säga må blifva sagdt med allt det eftertryck, " som jag är mäktig af.</w:t>
        <w:br/>
        <w:br/>
        <w:t>Man talar inom vetenskapen om zrowrov Wocudoc, d. v. s. själfva grundfelet, som är det väsentliga missförstånd, hvarpå sedermera en följd af felaktigheter bero. MHvilket är då här detta grundfel? Jo, det är, mina herrar, att man sammanblandar och förväxlar med hvarandra religion och kultur, ända därhän att man menar kulturen kunna träda 1 religionens ställe. Ett djupt och innerligt sammanhang råder onekligen enligt evangelisk-luthersk åskådning, som är den mest helgjutna kristliga åskådningen, mellan det kulturella, humana, naturliga och det, som i egentlig mening är religion. Men ingen har, mig veterligen, någonsin med större styrka än just Martin Luther — på samma gång som han framhöll detta sammanhang, som han med sådan utomordentlig kraft på alla områden betonade och hvarigenom det politiska, det sociala, det intellektuella och det konstnärliga lifvet vunnit ett sådant uppsving i och med hans storverk, reformationen — gjort gällande, att ingen kultur i världen förmår ersätta religionen. Kulturen kan utveckla och möjligen stärka det religiösa lifvet, men aldrig någonsin kan den intaga dess plats.</w:t>
        <w:br/>
        <w:br/>
        <w:t>Detta är någonting, som också på alla områden har blifvit erkändt af dem, som trängt till djupet af kulturen, vare sig nu det gällt vetenskapens område eller konstens eller filosofiens, som jag ställer i viss motsats till vetenskapen, hvilken i våra dagar plägar beteckna den exakta vetenskapen eller naturvetenskapen. Litet hvar af dem, som sysslat med dessa saker, vet, att de mest framstående naturforskare, såsom redan en Rudolf Virchow och en Du Bois-Reymond, erkänt de begränsningar, som denna vetenskap aldrig kommer öfver. Faran ligger däri, att man någon gång låter, såsom t. ex. Huxley och Heckel gjort, den moderna naturvetenskapen öfvergå i filosofi. Men icke endast en sådan naturalistisk filosofi, utan äfven den idealistiska filosofien misslyckas fullständigt, då den åt det sannas, det skönas eller till och med det godas idé anvisar den plats, som tillkommer den lefvande, personlige Herren Gud själf.</w:t>
        <w:br/>
        <w:br/>
        <w:t xml:space="preserve">Hvem vet icke, att jämväl för konst och skönlitteratur religionen har stor betydelse. Men en </w:t>
      </w:r>
      <w:r>
        <w:rPr>
          <w:b/>
        </w:rPr>
        <w:t>madame³</w:t>
      </w:r>
      <w:r>
        <w:rPr>
          <w:b w:val="0"/>
        </w:rPr>
        <w:t xml:space="preserve"> Staöl har icke dess mindre på sin dödsbädd förklarat, att det icke för människan funnes någon</w:t>
        <w:br/>
        <w:br/>
        <w:t xml:space="preserve">farligare frestelse i lifvet än den, som </w:t>
      </w:r>
      <w:r>
        <w:rPr>
          <w:b/>
        </w:rPr>
        <w:t>hon²</w:t>
      </w:r>
      <w:r>
        <w:rPr>
          <w:b w:val="0"/>
        </w:rPr>
        <w:t xml:space="preserve"> enligt sin egen bekännelse fallit för, att låta det sköna i naturen och konsten för </w:t>
      </w:r>
      <w:r>
        <w:rPr>
          <w:b/>
        </w:rPr>
        <w:t>henne²</w:t>
      </w:r>
      <w:r>
        <w:rPr>
          <w:b w:val="0"/>
        </w:rPr>
        <w:t xml:space="preserve"> blifva ett slags religion. |</w:t>
        <w:br/>
        <w:br/>
        <w:t>Ja, mina herrar, äfven det godas utöfning, om det fattas blott och bart i form af moralitet, till och med detta är ingalunda detsamma som religiositet. Nej, religionen ter sig! hos människan såsom ett rikt, högre lif, ett varmt, gifvande ljus till skillnad från de kalla rättfärdighetskraf, som moralen uppställer. Men hvem af oss skulle därför vilja underkänna samvetets värde och religiösa betydelse, lika litet som vi vilja nedsätta konsten eller vetenskapen såsom religionens förgårdar? Åtminstone skulle icke jag till något pris vilja sålunda bryta med hela min föregående lifsgärning.</w:t>
        <w:br/>
        <w:br/>
        <w:t xml:space="preserve">Religionen måste fasthållas såsom ett förhållande mellan människan och Gud. Den bär inom sig en helig mystik, ett nytt hemlighetsfullt lifsförhållande, som tager sig uttryck i våra tempelbyggnader, icke blott genom dessa höga fönster, som hindra blicken att omedelbart träda i beröring med den omgifvande världen, utan äfven i hvalfven öfver oss och i spiran, som pekar upp mot himlen. Allt detta är ägnadt att stämma sinnet för det, som lyfter människan öfver både det sköna och det sanna och det moraliskt goda, emedan det erbjuder </w:t>
      </w:r>
      <w:r>
        <w:rPr>
          <w:b/>
        </w:rPr>
        <w:t>henne²</w:t>
      </w:r>
      <w:r>
        <w:rPr>
          <w:b w:val="0"/>
        </w:rPr>
        <w:t xml:space="preserve"> att genom den gudomliga kärlekens makt träda i förbindelse med den Evige själf.</w:t>
        <w:br/>
        <w:br/>
        <w:t>I likhet med den föregående talaren ber jag få förklara, att det är till Guds ära, som äfven jag tillåtit mig ifrån min synpunkt uttala detta; och jag anhåller, herr talman, att få vidblifva det yrkande, jag framställt om afslag å den, förevarande motionen.</w:t>
        <w:br/>
        <w:br/>
        <w:t>Hvad beträffar sakfrågan vill jag säga det, att jag gärpa skulle rösta för en utredning angående äganderätten och dispositionsrätten till våra kyrkor och gudstjänstlokaler, och om icke någonting annat” skulle kalla mig till en sådan röstning, så är det den diskussion, som blifvit förd här i afton. Ty det måtte väl icke vara svårt att tänka efter, hvart det skall leda snart nog här i landet, om vi alltframgent få bevittna gång efter annan sådant, som vi nu få bevittna. Och jag tänker väl också, att vi litet hvar följt med i tidningspressen och sett, hvad det är för föredrag, som hållas uti landet under en falsk förklädnad, som drager människorna, svenska folket, allt längre och längre bort från i barndomen inlärda gudsbegreppet.</w:t>
        <w:br/>
        <w:br/>
        <w:t>Ramlar gndsbegreppet undan, då frågar jag: hvar ha vi då den sedliga ståndpunkten för hela vårt folk?</w:t>
        <w:br/>
        <w:br/>
        <w:t>Vidare ber jag få säga, att då jag gärna skulle rösta för en sådan utredning, så befarar jag dock, att detta blir omöjligt i afton, därför att äfven sedan herr Meurling gjort ett tillägg till klämmen, står dock i allt fall herr Starbäcks »reformtanke» kvar i t. o. m. klämmen, och den »reformtanken» innebär, att man skall få kyrkorna upplåtna för slagdängor af allehanda slag, sådana som äro antecknade i motionen. |</w:t>
        <w:br/>
        <w:br/>
        <w:t>Detta är de motiv, som ligga bakom hela utskottsbetänkandet. Det är på dem, utskottet bygger och klämmen hvilar. Om vi därför antaga klämmen, betyder detta egentligen, att vi falla undan för herrar Starbäcks och Kjellbergs reformtankar 1 detta fall, och dessa reformtankar vill jag icke ge något för, åtminstone icke rent positivt sedt.</w:t>
        <w:br/>
        <w:br/>
        <w:t>Då det således icke är möjligt att här i klämmen skilja mellan å ena sidan herr Starbäcks reformer och å andra sidan det spörsmål, som verkligen vore till gagn att få utredt, nämligen frågan om hvem som äger våra svenska kyrkor och gudstjänstlokaler, nödgas jag här rösta för afslag å såväl motionen som utskottets hemställan, äfven med det tillägg, som herr Meurling här föreslagit. Ifall man icke skulle kunna öfverallt — såsom herr Sandquist ansåg — riktigt bevisa, att kyrkorna höra de svenska församlingarne till och ej heller någon sådan utredning förebringas, att man kan vara lugn för den saken, tror jag för min del, att vid nästa riksdag skall på kammarens bord inkomma en motion med begäran om en utredning angående frågan om hvem som verkligen äger våra svenska kyrkor. Det gläder mig här högeligen, att vi fångat själfva utskottsordföranden för en sådan utredning, och han har talat icke blott å sina egna vägnar, utan äfven trott sig tala å hela utskottets vägnar, då han nu yttrade sig till förmån för en dylik utredning, Blir det då så, att det hela resulterar i den anda, som här i kammaren företrädes af herrar Starbäck och Kjellberg m. fl., eller att staten får anses vara den, som äger de svenska kyrkorna, så tag dem då för allt i världen. Jag tänker, att vi nog skola kunna förse oss med andra lokaler, där vi kunna hålla våra gudstjänster — vi ha ju lyckats därmed 1 så många andra fall, där vi blifvit utträngda. Varen dock förvissade om, att kristendomens sanningar äro så starka och lifskraftiga, att de komma rakt icke att drunkna eller råka illa ut, äfven om den andra anden, som här gjort sig gällande i afton, i närvarande stund synes vara högeligen bekymrad öfver hvar den sidans representanter skola kunna få hålla sina föredrag.</w:t>
        <w:br/>
        <w:br/>
        <w:t>På grund af det sagda och då det icke är möjligt att skilja de två saker åt, som här blifvit föremål för yrkande, nämligen herr Meurlings önskan om en utredning i detta fall och herr Starbäcks reformförslag, ber jag att få yrka afslag å såväl utskottets hemställan som den i ämnet väckta motionen liksom äfven å det kompletteringsförslag, som af herr Meurling här framställts.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