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1144</w:t>
      </w:r>
    </w:p>
    <w:p>
      <w:r>
        <w:rPr>
          <w:b/>
        </w:rPr>
        <w:t xml:space="preserve">Datum: </w:t>
      </w:r>
      <w:r>
        <w:t>1910-05-07</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Charodotes Meurling (Lantmannapartiet, man)</w:t>
      </w:r>
    </w:p>
    <w:p>
      <w:r>
        <w:rPr>
          <w:b w:val="0"/>
        </w:rPr>
        <w:t>Herr talman! De luckor och delvis vilseledande uppgifter, hvilka i fråga om historiken öfver kyrkomötet förekommit 1 motionen, har utskottet påvisat, visserligen icke, enligt motionärens åsikt, på något förtjänstfullt sätt, men därom kan ju vara olika meningar.</w:t>
        <w:br/>
        <w:br/>
        <w:t>Jämförelsen, som motionären gör mellan kyrkomötet och en sammanslutning af en ämbetsmannakår, träffar icke; ty kyrkomötet är icke prästerskapets, utan kyrkans representation. Äfven lekmännen hafva sitt rum där, och de väljas på en ganska bred demokratisk bas: en valman, en röst. Erfarenheten har också visat, att sådana lekmän hafva blifvit valda, hvilka gentemot de prästerliga ombuden visat en ganska stor själfständighet. Om sedan man kan önska, att kyrkomötet måtte sammansättas på ett annat sätt än hvad nu är fallet, såsom en reservant här uttalat, ja, må man då i laga ordning yrka på en sådan förändring. Det är väl icke rätt att på förhand, innan man ännu försökt det, framhålla, att detta icke skall kunna låta sig göra.</w:t>
        <w:br/>
        <w:br/>
        <w:t xml:space="preserve">Behofvet af en särskild representation för svenska kyrkan har utskottet påvisat genom att framställa, hurusom man, för att vara ledamot af Riksdagen, icke ens behöfver formellt tillhöra kyrkan; och ifall det beslut om vidsträcktare rätt till utträde ur svenska kyrkan, hvilket ju redan är fattadt inom Riksdagen, blir lag, så torde antalet af sådana ledamöter i Riksdagen blifva allt större. Men det måste väl ändå anses oegentligt, att de, som själfva icke tillhöra svenska kyrkan och icke ens vilja tillhöra </w:t>
      </w:r>
      <w:r>
        <w:rPr>
          <w:b/>
        </w:rPr>
        <w:t>henne²</w:t>
      </w:r>
      <w:r>
        <w:rPr>
          <w:b w:val="0"/>
        </w:rPr>
        <w:t xml:space="preserve">, skola i sista hand afgöra frågor, som kunna för </w:t>
      </w:r>
      <w:r>
        <w:rPr>
          <w:b/>
        </w:rPr>
        <w:t>hennes²</w:t>
      </w:r>
      <w:r>
        <w:rPr>
          <w:b w:val="0"/>
        </w:rPr>
        <w:t xml:space="preserve"> medlemmar vara</w:t>
        <w:br/>
        <w:br/>
        <w:t xml:space="preserve">af den allra största vikt och betydelse, t. ex.-om </w:t>
      </w:r>
      <w:r>
        <w:rPr>
          <w:b/>
        </w:rPr>
        <w:t>hennes²</w:t>
      </w:r>
      <w:r>
        <w:rPr>
          <w:b w:val="0"/>
        </w:rPr>
        <w:t xml:space="preserve"> lära, om Angående </w:t>
      </w:r>
      <w:r>
        <w:rPr>
          <w:b/>
        </w:rPr>
        <w:t>hennes²</w:t>
      </w:r>
      <w:r>
        <w:rPr>
          <w:b w:val="0"/>
        </w:rPr>
        <w:t xml:space="preserve"> gudstjänst, om kristendomsundervisningen, och mera sådant. delse af $$ Till den mängd af civila ärenden däremot, som prästerskapet g&gt; mom. 3 har att ombesörja äfven för sådana, som icke tillhöra kyrkan, sträcker samt 88 och sig ju icke kyrkomötets vetorätt; och är det, såsom det framhölls af 114 regeringsreservanten, någon oklarhet om hvad som hör till det ena eller det formen. andra området, ja, då må man yrka på boskillnad i det stycket, så (Forts) att kyrkomötets vetorätt i sådana frågor upphör. Detta är icke mer än rätt. Behofvet af en särskild representation för kyrkan framgår också däraf, att ledamöterna af Riksdagen i allmänhet väljas för helt andra syften än sådana, som röra kyrkans verksamhet. De kunna icke blott, såsom redan är nämndt, själfva stå utanför kyrkan, utan de kunna också, äfven om de formellt tillhöra </w:t>
      </w:r>
      <w:r>
        <w:rPr>
          <w:b/>
        </w:rPr>
        <w:t>henne²</w:t>
      </w:r>
      <w:r>
        <w:rPr>
          <w:b w:val="0"/>
        </w:rPr>
        <w:t xml:space="preserve">, vara för </w:t>
      </w:r>
      <w:r>
        <w:rPr>
          <w:b/>
        </w:rPr>
        <w:t>hennes²</w:t>
      </w:r>
      <w:r>
        <w:rPr>
          <w:b w:val="0"/>
        </w:rPr>
        <w:t xml:space="preserve"> verksamhet fullständigt indifferenta eller kanske till och med vara mera böjda för att hindra än att främja </w:t>
      </w:r>
      <w:r>
        <w:rPr>
          <w:b/>
        </w:rPr>
        <w:t>hennes²</w:t>
      </w:r>
      <w:r>
        <w:rPr>
          <w:b w:val="0"/>
        </w:rPr>
        <w:t xml:space="preserve"> verksamhet. För närvarande finnas visserligen i Riksdagen sådana, som äro varma vänner till kyrkan och äfven haft mod att bekänna detta; men det kan vara tillfälligt. I dag finnas de, och en annan dag kunna de vara borta och ersatta af sådana, hvilka icke hafva något kyrkligt eller kristligt intresse. För närvarande finnas också här i Riksdagen icke så få, som visat sig vara varma vänner af en lefvande personlig kristendom, men som dock icke anse kyrkans verksamhet tillräckligt fylla den uppgift, som kristendomen har för vårt folk, och hvilka därför organiserat en särskild verksamhet för att på ett enligt deras uppfattning bättre sätt fylla den uppgiften. Äfven om dessa icke kunna känna sig tillfredsställda med det sätt, hvarpå kyrkomötet sökt ordna kyrkans verksamhet, så tror jag dock, att de flesta af dem inse värdet af det förberedande arbete, som kyrkan utför äfven för deras verksamhet, så länge den omordade vetorätten lägger hinder för motionären och hans liktänkande att få taga herraväldet öfver kyrkan. Från det lägret hafva ju sådana uttalanden gjorts här i Riksdagen äfven om den frikyrkliga verksamheten, att det icke borde kännas synnerligen lockande för dem, som omfatta den verksamheten, att sammanoka sig med motionären och hans meningsfränder till gemensamt arbete för undergräfvande af kyrkomötet och dess rättsställning. Jag föreställer mig också, att de, som ej ville, att Guds heliga ord skall bli utsatt för hån och gäckeri, icke heller skola vilja undanskjuta en institution, som, trots alla sina misstag och brister, ändock har till uppgift att göra Guds heliga ord kändt bland hela vårt folk. Men skulle Riksdagen få oinskränkt beslutanderätt äfven i sådana frågor, mot hvilka kyrkomötet nu kan inlägga sitt veto, så måste naturligen vid riksdagsmannavalen mera än hittills hänsyn tagas till den ställning som kandidaterna hafva till de frågor, som röra kristendomen och kyrkan. Denna ställning måste då bli ett</w:t>
        <w:br/>
        <w:br/>
        <w:t>moment i deras politiska bekännelse. Hittills har detta skett blott föga. Valmännen hafva vid valen nästan uteslutande haft tanke på helt andra synpunkter. Men motioner sådana som denna och de med den besläktade och det sätt, hvarpå de hafva blifvit behandlade här i Riksdagen, hafva dock på sista tiden rätt mycket dragit valmännens uppmärksamhet till sig ute i bygderna. Från den sidan sedt hafva dessa motioner redan gjort en ganska stor nytta; och vi hoppas, att de i detta hänseende komma att göra ännu mera nytta.</w:t>
        <w:br/>
        <w:br/>
        <w:t>Jag ber, herr talman, att få yrka afslag å motionen och bifall till utskottets hemställan.</w:t>
      </w:r>
    </w:p>
    <w:p>
      <w:pPr>
        <w:pStyle w:val="Heading2"/>
      </w:pPr>
      <w:r>
        <w:t>2. Oskar Berg (Liberala samlingspartiet, man)</w:t>
      </w:r>
    </w:p>
    <w:p>
      <w:r>
        <w:rPr>
          <w:b w:val="0"/>
        </w:rPr>
        <w:t>Herr talman. Den sista ärade talaren ansåg, att det uttalande i motionen, som betecknar kyrkomötet såsom en sammanslutning af en ämbetsmannakår, prästerna, icke skulle vara befogadt. Jag tror ej, att motionären har uttryckt sig på detta sätt, men äfven om han det gjort, vore det väl ej så oriktigt, ty på det stora hela får man väl dock medge, att kyrkomötet är en institution, som företrädesvis arbetar för prästerskapets väl och välfärd. I dessa tider behöfver man nog ej spilla många ord på att gendrifva dem, som försöka göra en annan mening gällande. Det är visserligen sant, att äfven lekmännen ha sin plats i kyrkomötet, och att dessa ombud i kyrkomötet väljas efter ett mycket demokratiskt valsätt, men det är ju ingen här närvarande obekant, huru litet intresse dessa val verkligen tilldraga sig från den stora allmänheten. Och lika allbekant är det, att de lekmannaombud inom kyrkomötet, som ha en något friare åskådning i kyrkliga ting, äro mycket tunnsådda. Den föregående ärade talaren sade, att erfarenheten har visat, att flera lekmannaombud hafva ådagalagt stor själfständighet gentemot de prästerliga krafven. Förvisso tror jag att antalet af sådana själfständiga ombud skulle visa sig vara mycket litet, om man härom företoge en undersökning.</w:t>
        <w:br/>
        <w:br/>
        <w:t>Samma talare nämnde vidare, att behofvet af en särskild representation för kyrkan vore mycket stort, och han sade, att äfven de som ej tillhöra kyrkan, till och med de som äro indifferenta eller böjda för att hindra kyrkliga reformer, skulle komma att afgöra kyrkliga frågor, om denna motion bifölles. Jag tycker, att detta är att redan på förhand visa ett alltför stort och obefogadt misstroende mot kommande Riksdagars kompetens att behandla kyrkolagsoch andra kyrkomötesfrågor. — Den ärade talaren sade vidare, att inom Riksdagen ännu så länge funnes varma vänner till kyrkan, men att »de snart kunna vara borta och ersatta af sådana, hvilka icke hafva något verkligt kyrkligt eller kristligt intresse». Samma omdöme kan fällas om detta uttalande som om det föregående.</w:t>
        <w:br/>
        <w:br/>
        <w:t>Det som minst tilltalade mig i talarens anförande var dock den Angående appell han riktade till de frikyrkliga att ej, som han sade, »sammanändrad ty. oka sig med motionären och hans meningsfränder». Jag hoppas 0 3 $$ emellertid, att de frikyrkliga i denna kammare äro nog vidsynta samt 88 och att förstå, att då vi biträda motionen så göra vi detta, icke i någon 114 regeringsreligionsfientlig afsikt, utan därför att vi anse, att kyrkomötesformen. institutionen är föråldrad och icke står i öfverensstämmelse med (Forts.) tidsandan.</w:t>
        <w:br/>
        <w:br/>
        <w:t>Det skulle vara mycket att säga angående denna motion och om det, som den siste talaren ytterligare anfört, men jag tror det icke vara behöfligt att jag längre uppehåller mig därvid, då ju denne talare, såvidt jag kunnat finna, i denna fråga visat sig vara en förkämpe för föråldrade åskådningar.</w:t>
        <w:br/>
        <w:br/>
        <w:t>För min del kan jag nästan i allo ansluta mig till den första ärade talarens yttrande, men jag kan däremot icke vara med om hans slutyrkande. Han ansåg, att hans ståndpunkt vore en fastare grund än min och mina medreservanters, därför att Andra kammaren förr, såsom för 25 år sedan, ställt sig på densamma. Jag för min del tycker, att denna kammare borde vara mogen för att gå ett litet steg längre nu än för 25 år sedan. Jag anser, att en följdriktig tillämpning af de grundsatser, på hvilka den ärade reservantens, herr Beckmans, framställning hvilar, bör leda till ett biträdande af den reservation, som afgifvits af herr Nilsson i Malmö, och till hvilken herr Broomé och jag anslutit oss. Och till denna reservation, herr talman, ber jag nu att få yrka bifall.</w:t>
      </w:r>
    </w:p>
    <w:p>
      <w:pPr>
        <w:pStyle w:val="Heading2"/>
      </w:pPr>
      <w:r>
        <w:t>3. Knut Henning Gezelius von Scheele (–, man)</w:t>
      </w:r>
    </w:p>
    <w:p>
      <w:r>
        <w:rPr>
          <w:b w:val="0"/>
        </w:rPr>
        <w:t>Herr talman! Till en början ber jag få fästa uppmärksamheten på den principiella öfverensstämmelse i åskådning, som har visat sig finnas emellan den siste talaren, som representerar den ytterst till vänster gående meningen i detta afseende, och den först här uppträdande representanten för en skenbart förmedlande ståndpunkt. Jag får bekänna, att jag icke finner skillnaden i sak mellan dessa två uppfattningar så stor, att det från kyrklig ståndpunkt kan innebära någon nämnvärd fördel, om kammaren skulle stanna vid hvad herr vice talmannen och några med honom förordat till skillnad från den mera avancerade ståndpunkt, som talaren på göteborgsbänken försvarade. Det synes mig som om motionären träffat hufvudet på spiken, då han i sin framställning af gällande praxis i enlighet med den i regeringsformen $ 10 gifna föreskrift om föredragande statsråds skyldighet att före besluts fattande höra vederbörande myndigheter reducerat den förmenta medelståndpunkten till dess verkliga värde.</w:t>
        <w:br/>
        <w:br/>
        <w:t>I förbigående ber jag först få till bemötande upptaga ett uttalande af herr Beckman, hvilket mycket öfverraskade mig. Kanske var det en ren missägning. Att jag å min sida skulle hört miste, har jag svårt att tro, då jag befann mig alldeles i närheten, när yttrandet fälldes. Han sade nämligen, att det prästerliga elementets öfver-</w:t>
        <w:br/>
        <w:br/>
        <w:t>vägande antal i kyrkomötet vore för honom anstötligt. Men det har väl aldrig varit fallet, att präster såsom sådana funnits där i öfvervägande antal. Tvärtom har där flera gånger framställts yrkande på motsatsen, nämligen att lekmannaelementet skulle ökas, något som äfven jag i kyrkomötet motionerat om. — Efter denna obetydliga inledande anmärkning går jag nu öfver till att något litet granska motionärens egen framställning.</w:t>
        <w:br/>
        <w:br/>
        <w:t>Hvad då vidkommer hans grundtanke, som ju också blifvit af utskottet framhäfd, nämligen att kyrkomötet skulle vara något slags prästmöte, så är detta ett påstående, som står i strid mot de faktiska förhållandena. Att säga, att högkyrkliga eller klerikala tendenser i skråmässig mening skulle inom kyrkomötet haft sitt stöd bland dess prästerliga medlemmar, är ej heller riktigt. Nej, för så vidt sådana någon gång dess värre framträdt, har det lika ofta varit lekmän som präster, hvilka representerat denna ståndpunkt.</w:t>
        <w:br/>
        <w:br/>
        <w:t>Oriktigt är ock, hvad motionären anför på de allra första raderna af sin motivering gentemot Kungl. Maj:t, på samma gång som uttrycket innebär ett angrepp på kyrkomötet, nämligen att Kungl. Maj:t »funnit sig föranlåten att icke invänta den obligata femårsperiodens utgång för allmänt kyrkomötes sammanträde utan begagnat sig af sin rätt att mötet oftare sammankalla. Orsaken härtill», fortsätter han, »var den stora vikt och betydelse, som regeringen tillade den nya prästvalslagen». Har då motionären glömt, att det beslut, som af Riksdagen fattades, innebar, att lagen skulle lända till efterrättelse från och med den 1 januari 1910. Häraf följde ju som en nödvändighet för Kungl. Maj:t att — om icke Kungl. Maj:t önskade undertrycka hela lagen — handla så som Kungl. Maj:t gjorde.</w:t>
        <w:br/>
        <w:br/>
        <w:t>En tanke som går igenom motionärens framställning är den, att kyrkomötet skulle ha missbrukat sin vetorätt. För egen del har jag ingen af de trenne gånger som vetorätten blifvit af kyrkomötet begagnad, häri deltagit. Men jag anser mig i sanningens och rättvisans namn icke desto mindre böra bemöta hvad motionären sagt i detta hänseende. Först undrar jag då, mina herrar, om det verkligen är vanligt sätt att uttrycka sig, åtminstone på riksdagsspråk, att säga att man afslår en kungl. proposition, om man antager den till 47/,,, men i den återstående 48-delen gör en ändring. Jag trodde snarare, att det då hette, att man antager hvad som föreslagits, med den och den ändringen. Och det var ju detta som var fallet förlidet år.</w:t>
        <w:br/>
        <w:br/>
        <w:t>Hvad vidkommer ett annat af förslagen, nämligen det, som rörde själfspillingars jordfästning, så förhöll sig med den saken på det sättet, att kyrkomötet framlade ett annat förslag till formulering af ritualen vid sådana olyckliga människors begrafning, en formulering, som jag icke tror att någon vill förneka vara både vacker och ändamålsenlig. Men detta förslag blef ej af Kungl. Maj:t upptaget och för Riksdagen framlagdt; icke heller kom det genom någon</w:t>
        <w:br/>
        <w:br/>
        <w:t>enskild motionär under Riksdagens bepröfvande. Jag undrar, om Angående det ens i det fallet är alldeles rätt att göra ett dylikt påstående, om al lyman nämligen håller icke allenast på uttryckets bokstafliga sanning, ör må utan vill, att den sak, som relateras, skall relateras så, att intrycket samt 88 och af det sagda blir fullt sant och riktigt. 114 regerings- En gång har det verkligen ju inträffat, att kyrkomötet i realiformen. teten ställt sig mot Riksdagen, och det var 1893, då de gällde be- = (Forts.) kännelsefrågan. Som bekant hade S. A. Hedlund inom Riksdagen väckt förslag, att man skulle inskränka sig till den enkla formulering af svenska kyrkans bekännelse som prästlöftet innebar den tiden, en formulering, som jämväl stod i öfverensstämmelse med regeringsformen. Häremot reste sig vid kyrkomötet ett skarpt motstånd, för hvilket biskop Billing gick i spetsen. Man har nu i allmänhet bedömt detta så, att det var den högkyrkliga ortodoxismen, som gjorde sig gällande, då bibehållande af kyrkolagens $ 1 påyrkades, där kyrkans alla bekännelseskrifter förklaras vara lika bindande som den augsburgiska bekännelsen. Men, mina herrar, det är med detta som med mycket annat: man får lof att gå till källorna och pröfva saken för att kunna rätt bedöma den. Detta låter sig ju icke här göra, hvarför jag tror mig handla rätt, då jag i stället framdrager ett omdöme af en person, som länge varit betraktad som den främste målsmannen i svenska kyrkan för en liberal strömning därinom. Jag menar den nuvarande kyrkoherden i Oscars församling, Samuel Fries, som i Svensk Tidskrift 1893 offentliggjorde en uppsats om just detta ämne: betydelsen af kyrkomötets beslut samma år angående svenska kyrkans lära. Han säger där följande: »Det är så långt från att antagandet af kyrkolagsutskottets (lika med regeringens och Riksdagens) mening skulle vara ett uttryck för en friare ståndpunkt, som förhållandet är alldeles tvärtom. Och det visar endast en oerhörd förblindeles hos tidningspressens män och många enskilda personer, som ondgöras öfver kyrkomötets beslut&gt; — detta anslöt sig nämligen till kyrkolagsutskottet — »när man vid en jämförelse mellan biskop Johansson», som stod på den motsatta sidan, »och biskop Billings anföranden tror sig finna toleransens apostel i den förre och reaktionens i den senare.&gt; Och litet längre fram tillägger han: »Antagandet af regeringens förslag skulle genom sin formulering blifvit en verklig tvångströja både för präster och teologiska vetenskapsmän.» Nu kunna herrarna tycka detta resonemang vara bra besynnerligt, men själfva kärnan af bevisningen ligger däri, att om en tjock bok antages såsom uttryck för bekännelsen, måste man nödvändigt hålla sig till det väsentliga, till själfva andan, hvaremot, om hela bekännelsen är begränsad till några få blad eller sidor, det är möjligt att fatta den på ett bokstafligt bindande sätt. Jag vill vidare upptaga till granskning hvad som af motionären blifvit sagdt rörande kyrkomötets tillkomst och hänför min bevisning äfven här till en erkändt liberal auktoritet, som tillika är lek-</w:t>
        <w:br/>
        <w:br/>
        <w:t>man och således icke på något sätt kan anses vilja träda fram såsom målsman för ett prästerligt partiintresse. Den bekante Björck anförde vid Riksdagen 1862—063 enligt protokollet af den 4 april det sistnämnda året under behandlingen af det då föreliggande representationsförslaget följande: &gt;»Om kyrkomötet under sådana förhållanden misstager sig» — han talar om behofvet af reformer — »så att det går fortare än den allmänna meningen eller hindrar densamma, är det i båda fallen kraftlöst. Då vid en föregående riksdag förslag om lag angående kyrkomöte förevar, hyste jag en annan åsikt, såsom jag redan nämnt, och jag skulle därföre icke understödja detta förslag, om icke frågan måste betraktas från politisk synpunkt.&gt; Märk, mina herrar, han har ändrat ståndpunkt; något som en karaktärsfast man nog icke gör, utan att ha noga tänkt sig för. Nu förklarar han: »Fråga är endast om hvad som kan vara lämpligt för att förmå prästeståndet att lämna sin plats inom representationen». Ansågs således från den sidan, att det var omöjligt att genomföra representationsförslaget med mindre än att denna ersättning för prästeståndets ställning i förväg ordnades, så vore det väl knappast riktigt hederligt, efter svensk uppfattning af hederns lag, att neka till att så verkligen varit fallet eller upphäfva denna anordning, med mindre än att kyrkomötet därtill lämnar sitt bifall. Blott ännu ett! Jag vädjar till eder, mina herrar, huruvida man icke bör tänka sig väl för, innan man går så långt, som både den ena och den andra af dessa reservationer göra, i afseende på begränsningen af kyrkans relativa själfständighet. Det kan gå så, som en västgötakomminister, den ende representanten för hvad man kallat det lägre prästerskapet i förlidet års kyrkomöte, då förklarade, nämligen att man är på väg att förlora modet, frimodigheten och glädjen vid att tjäna fosterlandet på det sätt, som prästerskapet har visat sig efter sin uppfattning allvarligt önska göra. Denna komminister uttalade snart sagdt förtviflans ord med tanken på åtskilliga förhållanden uti den kammare, som jag har äran tillhöra, och jag kände mig därför af desamma särskildt berörd. Jag afser särskildt hans anförande den 24 november sagda år, hvilket står att läsa i Allmänna kyrkomötets protokoll år 1909, n:o 14, sid. 27 f. Hvad som är historiens vittnesbörd, det är, att om den, som skall tjäna, förlorar frimodigheten och glädjen vid tjänandet, får detta icke samma värde, samma betydelse, samma kraft, som det i motsatt fall skulle för honom haft eller kunnat ha. Och det värsta af allt: det kommer i sin tid en reaktion emot hvarje tillvägagående, som varit i strid mot den verkliga djupare folkmeningen. En sådan reaktion, mina herrar, är ingalunda något fantom, någon uppdiktad spökbild, utan det har visat sig under senare åren, att man i Sverige sökt ett närmande till de engelska ritualisterna, ett slags kryptokatoliker, för att därigenom gifva styrka åt den svenska kyrkan under de oroliga tider, hvari vårt folk för närvarande i detta hänseende befinner sig. Jag har både offentligt och enskildt, det kraf-</w:t>
        <w:br/>
        <w:br/>
        <w:t xml:space="preserve">tigaste jag förmått, kämpat emot dessa sträfvanden, ty ingenting Angående skulle vara olyckligare för det frihetsälskande svenska folket än att fyra lytvingas in i sådana former, och snart skulle dymedelst förloras hvad gr $$ man afsett att bevara, nämligen religionen själf. samt 88 och En man, om hvilken i början af detta plenum erinrats, den ny- 114 regeringsligen aflidne konung Edward, angående hvars statsmannavishet formen. åtminstone jag icke hört mer än en mening, yttrade offentligen för (Forts.) kort tid sedan, att England borde taga vara på sin kyrka, emedan </w:t>
      </w:r>
      <w:r>
        <w:rPr>
          <w:b/>
        </w:rPr>
        <w:t>hon²</w:t>
      </w:r>
      <w:r>
        <w:rPr>
          <w:b w:val="0"/>
        </w:rPr>
        <w:t>, rätt sedt, vore samhällets säkraste stöd. Detta torde innehålla en äfven för oss nyttig lärdom. Jag kan, herr talman, icke annat än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1144</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