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1146</w:t>
      </w:r>
    </w:p>
    <w:p>
      <w:r>
        <w:rPr>
          <w:b/>
        </w:rPr>
        <w:t xml:space="preserve">Datum: </w:t>
      </w:r>
      <w:r>
        <w:t>1910-05-07</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Thylander (–, man)</w:t>
      </w:r>
    </w:p>
    <w:p>
      <w:r>
        <w:rPr>
          <w:b w:val="0"/>
        </w:rPr>
        <w:t>Herr talman! Såsom herrarna finna af utskottsbetänkandet, hafva herr Christiernson och jag reserverat oss vid denna punkt. Vi hafva nämligen ansett, att de skäl, som föreligga för beviljandet af denna pension, icke äro tillräckligt talande för att man skall kunna gå med på utskottets förslag.</w:t>
        <w:br/>
        <w:br/>
        <w:t>Jag ber att få hänvisa till det yttrande, som statskontoret haft, och hvilket finns infördt i betänkandet. Det heter där:</w:t>
        <w:br/>
        <w:br/>
        <w:t xml:space="preserve">»Såsom bouppteckningen efter generalmajoren Beckman utvisade, vore ställningen i boet jämförelsevis god med en behållning af 32,543 kronor 31 öre. Sedan behållningen fördelats på </w:t>
      </w:r>
      <w:r>
        <w:rPr>
          <w:b/>
        </w:rPr>
        <w:t>änkan²</w:t>
      </w:r>
      <w:r>
        <w:rPr>
          <w:b w:val="0"/>
        </w:rPr>
        <w:t xml:space="preserve"> och sex barn, utgjorde hvad på de minderåriga barnens lotter komme visserligen icke så mycket, att det kunde anses förslå till deras uppfostran, men enligt hvad statskontoret inhämtat, uppbure </w:t>
      </w:r>
      <w:r>
        <w:rPr>
          <w:b/>
        </w:rPr>
        <w:t>änkan²</w:t>
      </w:r>
      <w:r>
        <w:rPr>
          <w:b w:val="0"/>
        </w:rPr>
        <w:t xml:space="preserve"> för sig och de oförsörjda barnen pension från flottans pensionskassa å tillhopa 974 kronor 50 öre. Under sådana förhållanden skulle i vanliga fall</w:t>
        <w:br/>
        <w:br/>
        <w:t>Angående icke kunna anses föreligga tillräckliga skäl att söka bereda ytterligare</w:t>
        <w:br/>
        <w:br/>
        <w:t>understöd. » i Detta skulle ju således kunna betraktas såsom varande tillräck-</w:t>
        <w:br/>
        <w:br/>
        <w:t>L. Beckmans ligt skäl för afslag å den kungl. propositionen. Men statskontoret</w:t>
        <w:br/>
        <w:br/>
        <w:t>fortsätter sedan:</w:t>
        <w:br/>
        <w:br/>
        <w:t>»Med hänsyn likväl till de bekanta omständigheter, hvarunder generalmajoren Beckman ljutit döden, träffad af en mot samhällsordning och militärväsende hatfull mördares vapen, ville det synas statskontoret billigt, att staten i ekonomiskt afseende bidroge attlindra den förlust, som drabbat hans närmaste». «Och så tillstyrker statskontoret den föreslagna pensionen.</w:t>
        <w:br/>
        <w:br/>
        <w:t xml:space="preserve">När man suttit i bankoutskottet och varit med om att handlägga en mängd pensionsfrågor, där behofvet visat sig vara ofantligt mycket större än i detta fall, men där bankoutskottet dock funnit sig nödsakadt att pruta och icke taga hänsyn till känslostämningar, då man vidare ser, att det finnes möjlighet för de efterlefvande att kunna försörja sig, såväl för </w:t>
      </w:r>
      <w:r>
        <w:rPr>
          <w:b/>
        </w:rPr>
        <w:t>änkan²</w:t>
      </w:r>
      <w:r>
        <w:rPr>
          <w:b w:val="0"/>
        </w:rPr>
        <w:t xml:space="preserve"> som för barnen, och då det således är tillräckligt bevisadt, att något verkligt behof ej föreligger, anser jag, att det kan sättas i fråga, huruvida Riksdagen skall slå in på den vägen att i fall sådana som detta bevilja pension. Det skulle ju kunna komma att medföra åtskilliga konsekvenser i framtiden.</w:t>
        <w:br/>
        <w:br/>
        <w:t>Vi hafva icke kunnat vara med om att gifva åt Riksdagen en anvisning att gå så till väga, att pension i fall sådana som detta meddelas åt de efterlefvande. Och därför hafva vi icke heller kunnat vara med om det förslag, hvartill utskottet kommit, utan hafva vi reserverat oss däremot.</w:t>
        <w:br/>
        <w:br/>
        <w:t>Jag ber att på dessa skäl få yrka afslag å såväl den kungl. propositionen som på utskottets förslag.</w:t>
      </w:r>
    </w:p>
    <w:p>
      <w:pPr>
        <w:pStyle w:val="Heading2"/>
      </w:pPr>
      <w:r>
        <w:t>2. Ivan Svensson (Första kammarens nationella parti, man)</w:t>
      </w:r>
    </w:p>
    <w:p>
      <w:r>
        <w:rPr>
          <w:b w:val="0"/>
        </w:rPr>
        <w:t>Då general Beckman, en allmänt erkänd och högt förtjänt officer, föll offer för ett fanatiskt lönnmord på grund af sin tjänsteställning, anser jag staten skyldig att i någon mån underlätta bördan för hans efterlefvande. De blefvo hårdt drabbade ändå, äfven i ekonomiskt afseende, och deras framtidsutsikter blifva nog helt annorlunda än hvad de skulle hafva blifvit, om den förtjänstfulle mannen fått verka, till dess han på naturligt sätt kommit att afgå från sin tjänst.</w:t>
        <w:br/>
        <w:br/>
        <w:t>Jag anhåller därför, att kammaren ville bifalla utskottets förslag.</w:t>
      </w:r>
    </w:p>
    <w:p>
      <w:pPr>
        <w:pStyle w:val="Heading2"/>
      </w:pPr>
      <w:r>
        <w:t>3. Lars Johan Carlsson Frosterud (Socialdemokraterna, man)</w:t>
      </w:r>
    </w:p>
    <w:p>
      <w:r>
        <w:rPr>
          <w:b w:val="0"/>
        </w:rPr>
        <w:t>Herr talman! På de skäl, kr. Beckmans</w:t>
        <w:br/>
        <w:br/>
        <w:t xml:space="preserve">som af den förste ärade talaren anförts, skall äfven jag yrka bifall två mindertill den af herrar Christiernson och Thylander vid denna punkt af- 47:99 Söner. gifna reservationen. Jag har visserligen icke inom utskottet del- (Forts.) tagit i behandlingen af denna fråga, men då en af reservanterna icke är närvarande i kammaren, yrkar jag i stället bifall till reservationen. Det förefaller mig, som om man, då det är fråga om att bevilja pension under sådana förhållanden, att lagliga skäl icke föreligga, i främsta rummet skall taga hänsyn till det föreliggande ekonomiska behofvet. Och såsom af Kungl. Maj:ts proposition framgår, föreligga i detta fall icke några trängande ekonomiska förhållanden, som skulle kunna utgöra ett motiv för att bifalla denna framställning. Då bouppteckningen utvisar en behållning i boet af 32,543 kronor 31 öre och då därtill kommer, att </w:t>
      </w:r>
      <w:r>
        <w:rPr>
          <w:b/>
        </w:rPr>
        <w:t>änkan²</w:t>
      </w:r>
      <w:r>
        <w:rPr>
          <w:b w:val="0"/>
        </w:rPr>
        <w:t xml:space="preserve"> för sig och sina oförsörjda barn från flottans pensionskassa uppbär en årlig pension af 974 kronor 50 öre, synes det mig vara möjligt, att ifrågavarande persons efterlämnade minderåriga barn skola kunna uppfostras på ett ganska värdigt sätt, så att något skäl att bifalla denna framställning synes icke föreligga.</w:t>
      </w:r>
    </w:p>
    <w:p>
      <w:pPr>
        <w:pStyle w:val="Heading2"/>
      </w:pPr>
      <w:r>
        <w:t>4. Olof Hellström (Liberala samlingspartiet, man)</w:t>
      </w:r>
    </w:p>
    <w:p>
      <w:r>
        <w:rPr>
          <w:b w:val="0"/>
        </w:rPr>
        <w:t>Herr talman, mina herrar! Ehuru jag mycket väl kan förstå, att jag i den föreliggande frågan har föga utsikt att gentemot ett enhälligt bankoutskott vinna gehör för min motion, kan jag dock icke underlåta att inför kammaren förklara motiven för motionen i fråga.</w:t>
        <w:br/>
        <w:br/>
        <w:t xml:space="preserve">Om man nämligen närmare studerar järnvägsstyrelsens skrifvelse, skall man finna, att järnvägsstyrelsen föreslagit ett belopp af 400 kronor att oafkortadt utgå till den </w:t>
      </w:r>
      <w:r>
        <w:rPr>
          <w:b/>
        </w:rPr>
        <w:t>änka²</w:t>
      </w:r>
      <w:r>
        <w:rPr>
          <w:b w:val="0"/>
        </w:rPr>
        <w:t xml:space="preserve">, för hvilken här föreslås pension. Järnvägsstyrelsen har icke nämnt något om den minderårige sonen. Kungl. Maj:t har emellertid gjort den ändring, att Kungl. Maj:t föreslagit 300 kronor till </w:t>
      </w:r>
      <w:r>
        <w:rPr>
          <w:b/>
        </w:rPr>
        <w:t>änkan²</w:t>
      </w:r>
      <w:r>
        <w:rPr>
          <w:b w:val="0"/>
        </w:rPr>
        <w:t xml:space="preserve"> samt 4100 kronor till den minderårige sonen; alltså innebär Kungl. Maj:ts förslag en försämring, om jag så får uttryckafmig. Efter de sju år, som nu återstå för sonen, skulle nämligen </w:t>
      </w:r>
      <w:r>
        <w:rPr>
          <w:b/>
        </w:rPr>
        <w:t>änkan²</w:t>
      </w:r>
      <w:r>
        <w:rPr>
          <w:b w:val="0"/>
        </w:rPr>
        <w:t xml:space="preserve"> endast få uppbära 300 kronor, som tillsammans med det lilla belopp, som </w:t>
      </w:r>
      <w:r>
        <w:rPr>
          <w:b/>
        </w:rPr>
        <w:t>hon²</w:t>
      </w:r>
      <w:r>
        <w:rPr>
          <w:b w:val="0"/>
        </w:rPr>
        <w:t xml:space="preserve"> får från elementarlärarnas </w:t>
      </w:r>
      <w:r>
        <w:rPr>
          <w:b/>
        </w:rPr>
        <w:t>änkeoch²</w:t>
      </w:r>
      <w:r>
        <w:rPr>
          <w:b w:val="0"/>
        </w:rPr>
        <w:t xml:space="preserve"> pupillkassa, naturligtvis måste anses alltför litet för </w:t>
      </w:r>
      <w:r>
        <w:rPr>
          <w:b/>
        </w:rPr>
        <w:t>henne²</w:t>
      </w:r>
      <w:r>
        <w:rPr>
          <w:b w:val="0"/>
        </w:rPr>
        <w:t xml:space="preserve"> att kunna existera på.</w:t>
        <w:br/>
        <w:br/>
        <w:t xml:space="preserve">Om nu förhållandena vore sådana, att </w:t>
      </w:r>
      <w:r>
        <w:rPr>
          <w:b/>
        </w:rPr>
        <w:t>änkan²</w:t>
      </w:r>
      <w:r>
        <w:rPr>
          <w:b w:val="0"/>
        </w:rPr>
        <w:t xml:space="preserve"> vore frisk och möjligtvis kunde förtjäna något själf till sitt uppehälle, skulle jag nog icke ha framkommit med min blygsamma begäran, men af läkarintyget framgår, att </w:t>
      </w:r>
      <w:r>
        <w:rPr>
          <w:b/>
        </w:rPr>
        <w:t>änkan²</w:t>
      </w:r>
      <w:r>
        <w:rPr>
          <w:b w:val="0"/>
        </w:rPr>
        <w:t xml:space="preserve"> är ganska illa sjuk och att </w:t>
      </w:r>
      <w:r>
        <w:rPr>
          <w:b/>
        </w:rPr>
        <w:t>hon²</w:t>
      </w:r>
      <w:r>
        <w:rPr>
          <w:b w:val="0"/>
        </w:rPr>
        <w:t xml:space="preserve"> har en sjukdom, som gör, att </w:t>
      </w:r>
      <w:r>
        <w:rPr>
          <w:b/>
        </w:rPr>
        <w:t>hon²</w:t>
      </w:r>
      <w:r>
        <w:rPr>
          <w:b w:val="0"/>
        </w:rPr>
        <w:t xml:space="preserve"> icke kan få någon extra förtjänst genom eget arbete, och dessutom måste </w:t>
      </w:r>
      <w:r>
        <w:rPr>
          <w:b/>
        </w:rPr>
        <w:t>hon²</w:t>
      </w:r>
      <w:r>
        <w:rPr>
          <w:b w:val="0"/>
        </w:rPr>
        <w:t xml:space="preserve"> antagligen använda främmande hjälp för sin skötsel. Det synes mig verkligen, som om utskottet hade bort beakta detta och tilldela </w:t>
      </w:r>
      <w:r>
        <w:rPr>
          <w:b/>
        </w:rPr>
        <w:t>henne²</w:t>
      </w:r>
      <w:r>
        <w:rPr>
          <w:b w:val="0"/>
        </w:rPr>
        <w:t xml:space="preserve"> oafkortadt de 400 kronor, som järnvägsstyrelsen föreslagit.</w:t>
        <w:br/>
        <w:br/>
        <w:t>Vidare bör man väl också i ett sådant fall som detta taga hänsyn till mannens verkligen långvariga, trogna och ansträngande arbete i statens tjänst och till det förhållandet, att han just i detta</w:t>
        <w:br/>
        <w:br/>
        <w:t>arbete ådragit sig den förkylning, som slutade med lunginflammation och till sist med döden.</w:t>
        <w:br/>
        <w:br/>
        <w:t>Det är ju sant, att vissa principer böra göra sig gällande vid bestämmandet af sådana pensionsbelopp som detta, men det kan dock finnas fall, då man måste frångå dessa principer, och jag uttalar verkligen den förmodan, att just ett sådant fall här föreligger. Man måste väl i alla fall någon gång taga hänsyn till ömmande omständigheter, och staten bör väl icke alltid taga afstånd från den gamla goda praxis, som ofta gör sig gällande, exempelvis hos större bolag, hvilka i med detta likartade fall pläga visa sig mera tillmötesgående.</w:t>
        <w:br/>
        <w:br/>
        <w:t xml:space="preserve">Den ökning, som jag i min motion begär, utgör ju endast 100!kronor, således ett mycket obetydligt belopp. Ett bifall till motionen skulle naturligtvis föra glädje in i det fattiga hemmet och göra det möjligt för </w:t>
      </w:r>
      <w:r>
        <w:rPr>
          <w:b/>
        </w:rPr>
        <w:t>änkan²</w:t>
      </w:r>
      <w:r>
        <w:rPr>
          <w:b w:val="0"/>
        </w:rPr>
        <w:t xml:space="preserve"> att lättare se framtiden an, under det att ett afslag å motionen skulle ytterligare bidraga till att försänka </w:t>
      </w:r>
      <w:r>
        <w:rPr>
          <w:b/>
        </w:rPr>
        <w:t>henne²</w:t>
      </w:r>
      <w:r>
        <w:rPr>
          <w:b w:val="0"/>
        </w:rPr>
        <w:t xml:space="preserve"> i sorg och förtviflan vid tanken på framtiden, som verkligen ter sig så mörk för </w:t>
      </w:r>
      <w:r>
        <w:rPr>
          <w:b/>
        </w:rPr>
        <w:t>henne²</w:t>
      </w:r>
      <w:r>
        <w:rPr>
          <w:b w:val="0"/>
        </w:rPr>
        <w:t xml:space="preserve">; men detta kunna vi nu förhindra genom att bifalla denna lilla ökning i </w:t>
      </w:r>
      <w:r>
        <w:rPr>
          <w:b/>
        </w:rPr>
        <w:t>hennes²</w:t>
      </w:r>
      <w:r>
        <w:rPr>
          <w:b w:val="0"/>
        </w:rPr>
        <w:t xml:space="preserve"> understöd med 100 kronor per år.</w:t>
        <w:br/>
        <w:br/>
        <w:t>Herr talman! Då jag anser, att min begäran här är ganska blygsam och väl motiverad, anhåller jag att få yrka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1146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