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w:t>
      </w:r>
    </w:p>
    <w:p>
      <w:r>
        <w:rPr>
          <w:b/>
        </w:rPr>
        <w:t xml:space="preserve">Datum: </w:t>
      </w:r>
      <w:r>
        <w:t>1911-05-26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mina herrar! Det är icke för att förnya dechargedebatten, hvilket för öfrigt herr talmannen icke skulle tillåta, som jag nu begärt ordet. Men detta betänkande ger dock anledning att tala om de anmärkningar mot statsråd, som på grund af öfverbetalning af fastställda anslag kunna äga rum. Och jag skall tillåta mig att något söka be-</w:t>
        <w:br/>
        <w:br/>
        <w:t>lysa denna sak med hänsyn till framför allt den praxis, som vid Ang. öfverstatsregleringen utvecklat sig rörande densamma. fas SR o asta anslag Som bekant hafva vi i våra grundlagar många paragrafer, wnder femte hvilka handla om anledning till anmärkning mot statsråd — hufvudtiteln. 65, 106 och 107 $$ regeringsformen, 39 &amp; riksdagsordningen = (Forts.) o.s.v. — och dessutom en stor ansvarighetslag, där mångahanda anledningar till anmärkning äro angifna. Emellertid, den utveckling, som ägt rum sedan alla dessa stadganden kommo till för något mer än hundra år sedan, har i väsentliga punkter afvikit från den skrifna lagens bestämmelser. Det har utvecklat sig en konstitutionell praxis vid sidan om grundlagens bud, hvilken, ehuru man allt emellanåt återfaller till och upprepar dessa grundlagens bud, likväl trängt igenom som den reala behandlingen af dessa ärenden. Och denna praxis har gått fram på två särskilda linjer, den ena i fråga om formerna för utkräfvandet af detta ansvar och den andra i afseende å vissa anledningar därtill. I afseende på formerna veta vi ju, hurusom $&amp; 106 nästan undantagslöst, kan man säga, kan anses som antikverad. Man tillämpar $ 107 äfven där, hvarest enligt bokstafvens lydelse 8 106 skulle tillämpas. Men en liknande utveckling har ägt rum äfven i fråga om öfverskridande af anslag. Jag skall be att få litet närmare förklara, hvarför en sådan utveckling har måst komma till stånd. Förhållandet var nämligen det, att i riksdagsordningen insattes år 1810 den bestämmelsen, att, när helst statsutskottet fann, att ett anslag blifvit öfverskridet, det skulle göra anmälan därom hos konstitutionsutskottet, som sedan ägde taga saken om hand för vidare behandling. Anledningen till att detta icke då var någon orimlighet och icke gärna kunde gifva anledning till någon sådan var, att enligt 1809 års regeringsform och den uppfattning, man då hade om dess bestämmelser i $8 62—565, gällde anslagen, som Riksdagen gaf, endast hufvudtitlarne &gt;en bloc»&gt;. Meningen var, att Riksdagen gaf ett anslag till hvar och en af de åtta hufvudtitlarna, hvilket sedan regeringen fick förvalta bäst den kunde, utan att Riksdagen gick in på en specialisering af de särskilda anslagen inom titlarna. Emellertid, utvecklingen gick här mycket hastigt vid sidan af lagbestämmelserna och förde till en fortgående specialisering af budgeten, så att Riksdagen icke längre bestämde anslagen endast för hvar hufvudtitel utan med noggrant angifvande af de särskilda poster inom hufvudtitlarna, för hvilka anslagen voro lämnade. Med denna specialisering följde också en fixering af de särskilda beloppen, och så uppstodo dessa olika slag af anslag, som vi nu hafva, nämligen bestämda anslag, förslagsanslag, förslagsanslag högst och reservationsanslag. Denna utveckling har emellertid fört det med sig, att i</w:t>
        <w:br/>
        <w:br/>
        <w:t>Man kan nu fråga, huru man bör göra och huru har man gjort för att undvika den statsrättsliga konflikt, som häraf ovillkorligen måste uppstå. Jo, sedan år 1851 har man underlåtit att gå den väg, som grundlagen säger, utan i stället inslagit på en annan.</w:t>
        <w:br/>
        <w:br/>
        <w:t>Man har oftast fått kännedom om detta öfverskridande genom statsrevisorerna, och Riksdagen har vid åtskilliga tillfällen uttalat sig därom och däröfver gjort anmärkning till regeringen. I ett fall, 1891, har äfven konstitutionsutskottet gjort anmälan med anledning häraf enligt $ 107. Men eljest har det städse stannat vid de uttalanden, som statsutskottet gjort med anledning af revisorernas berättelse. Därmed har saken fått förfalla.</w:t>
        <w:br/>
        <w:br/>
        <w:t>Man skulle kunna tänka sig äfven ett annat sätt för lösning af denna konflikt, nämligen att i stället för reservationsanslag anvisades uteslutande förslagsanslag i afseende på sådan statsverksamhet, som icke kan hållas inom bestämda gränser. Men Riksdagen lär väl knappast gå in härpå, och då återstår ingenting annat än att gå vidare på den en gång inslagna vägen och, om ett öfverskridande ägt rum, göra anmärkning samt låta denna gå till regeringen med begäran om rättelse. Det är det som skett här i första punkten af föreliggande utlåtande, där statsutskottet i motiveringen till sin kläm säger, att »underrättelse därom med uppgift å anledningen därtill samt förslag till bristens täckande bör ofördröjligen meddelas Riksdagen».</w:t>
        <w:br/>
        <w:br/>
        <w:t>Emellertid bör denna sig sålunda utvecklande konstitutionella praxis fullkomnas och närmare fixeras, så att, så snart en</w:t>
        <w:br/>
        <w:br/>
        <w:t>brist blifvit bekant, anmälan därom ögonblickligen göres af re- Ang. öfvergeringen. Nu är det vanligtvis statsrevisorerna, som göra denna reg å anmälan, men man kan fordra, att regeringen själf underrättar under femte om saken och inkommer till Riksdagen med förklaring och förhufvudtiteln. slag till bristens täckande. Om denna praxis utvecklar sig, und- = (Forts.) går man på det viset den konflikt, som understumdom måste uppstå i följd af anslags öfverskridande mot grundlagens strikta bud, men man gör alldeles som när man utbyter 8 107 mot $ 106. Man följer det politiska lifvet i dess naturliga gång och man ackommoderar sig efter gifna förhållanden. I år har emellertid för första gången på sextio år jämväl det gamla förfaringssättet med anmälan enligt riksdagsordningen $&amp; 39 ägt rum, Härigenom har i detta utskottsbetänkande på ett märkvärdigt sätt gammalt och nytt förenats. Det är detta, som förlänar detsamma sitt stora intresse först och främst för rättshistorikern, som här ser, huru gamla och nya bestämmelser och åskådningar gå vid sidan af hvarandra. Men äfven ur rent praktisk-politisk och statsrättslig synpunkt har det sitt stora intresse att erfara, hurusom, samtidigt med den i sista punkten omnämnda åtgärden att anmäla till konstitutionsutskottet, hvilken åtgärd visserligen är ett återfall i den gamla ordningen — jag kan icke kalla det för något annat —, den nya praxis står där vid sidan fullt färdig. Och jag är öfvertygad om, att denna nya praxis skall afgå med segern, på sätt redan skett beträffande användningen af $$ 106 och 107 regeringsformen. Med detta vill jag emellertid ingalunda hafva sagt, att ifrågavarande grundlagens bud böra anses vara fullständigt upphäfda och ännu mindre genom en lagändring tagas bort. De böra finnas kvar som säkerhetsinrättningar för utomordentliga fall. Men de skola i det politiska lifvets hvardagslif icke komma till användning utan ersättas af den konstitutionella praxis, som utvecklat sig, och hvarom jämväl detta betänkande i sitt första moment vittnar, hvad beträffar öfverskridande af anslag. Herr talman, det var endast detta jag ville hafva till protokollet antecknadt.</w:t>
        <w:br/>
        <w:br/>
        <w:t>Där växel ställes att å utrikes ort betalas eller är utfärdad å utrikes ort, skall, oberoende af den stämpel, som i allmänhet är stadgad, växeln, då den utställes eller, om den utfärdas utom riket, innan den här i riket öfverlåtes eller till godkännande eller betalning företes, förses med stämpel af 50 öre för belopp, ej öfverstigande 1,000 kronor, och därutöfver 50 öre för hvarje påbörjadt tusental kronor, hvarå den lyder, dock att frihet från stämpel äger rum för växel, som är ställd att vid uppvisandet betalas af medel, som hos bank eller bankir föras i räkning för utställaren, äfvensom för växel, som är dragen från utlandet på utlandet och endast är betalbar i utlandet, så ock för växel, som ställes att betalas till statsförvaltningen tillhörande allmänt verks eller styrelses order.</w:t>
        <w:br/>
        <w:br/>
        <w:t xml:space="preserve">tjänsten eller som åtgått för fullgörande af de skyldigheter, hvilka ålegat honom såsom fullmäktig eller revisor vid civilstatens </w:t>
      </w:r>
      <w:r>
        <w:rPr>
          <w:b/>
        </w:rPr>
        <w:t>änkeoch²</w:t>
      </w:r>
      <w:r>
        <w:rPr>
          <w:b w:val="0"/>
        </w:rPr>
        <w:t xml:space="preserve"> pupillkassa.</w:t>
        <w:br/>
        <w:br/>
        <w:t>Därest emellertid tjänsteman blifvit oförmögen till tjänstgöring i följd af kroppsskada, ådragen under tjänsteutöfning, må den fasta aflöningen till honom utgå under högst 6 månader oafkortad samt efter denna tid med belopp, som bestämmes af Kungl. Maj:t.</w:t>
        <w:br/>
        <w:br/>
        <w:t>Om förordnandet erfordras till följd af sjukdomsförfall, äger den vikarierande att, utöfver egen aflöning, af den tjänstlediges tjänstgöringspenningar uppbära skillnaden mellan tjänstgöringspenningarna i lägsta lönegraden för, å ena sidan, den högre befattning, som uppehålles, och, å andra sidan, den vikarierandes egen befattning.</w:t>
        <w:br/>
        <w:br/>
        <w:t>Därest postsparbanksdirektören för handläggning af särskilda ärenden är under några få, högst fyra, dagar hindrad att sköta sin befattning, skall annan tjänsteman vid postsparbanken vara pliktig att utan särskild ersättning sköta de till postsparbanksdirektörsbefattningen hörande löpande göromål.</w:t>
        <w:br/>
        <w:br/>
        <w:t>dels huruvida icke ledningen och tillsynen öfver den detaljhandel med brännvin, som nu utöfvas af ett hundratrettiotal hvar för sig själfständiga bolag, bör öfverföras till en för hela riket gemensam styrelse, tillsatt af Konungen;</w:t>
        <w:br/>
        <w:br/>
        <w:t>dels, såsom en följd häraf, huruvida icke all utskänkning af egentligt brännvin i öppet mått eller glas må förbjudas;</w:t>
        <w:br/>
        <w:br/>
        <w:t>dels huruvida och på hvilka villkor nuvarande spritförädlingsverk böra och kunna af staten inlösas, samt slutligen</w:t>
        <w:br/>
        <w:br/>
        <w:t>dels hvilken ökad inkomst staten genom de till utredning föreslagna förändringarna kan komma att tillföras,</w:t>
        <w:br/>
        <w:br/>
        <w:t>och sedan till Riksdagen framställa det förslag till förändring af nu gällande kungl. förordning om försäljning af brännvin och annan spirituosa, hvartill utredningen kan gifva anledning&gt;.</w:t>
        <w:br/>
        <w:br/>
        <w:t>Bolagets delägare skola vara minst nio, af hvilka åtminstone sex böra vara boende å den ort, där bolagets styrelse har sitt säte. Bolagets styrelse skall bestå af fem ledamöter, af hvilka två utses af delägarna i bolaget, en af landstinget, en af hushållningssällskapets förvaltningsutskott samt en af den kommun, där bolaget idkar sin rörelse, dock att i stad, som icke deltager i landsting, stadsfullmäktige utse den ledamot, som eljest skulle af landstinget väljas. I Stockholm utses tre ledamöter af stadsfullmäktige. Därest å landet eller i stad, som deltager i landsting, nytt bolag bildas å tid, då landstinget icke är samladt, må ordföranden i landstinget äga att utse en person att under tiden, till dess styrelseledamot blifvit af näst sammanträdande landsting utsedd, vara ledamot i styrelsen».</w:t>
        <w:br/>
        <w:br/>
        <w:t>Enligt utskottet tillhandakomna protokollsutdrag hafva, beträffande utskottets berörda hemställan, Riksdagens kamrar stannat i olika beslut, i det att Första kammaren bifallit hvad utskottet i betänkandet hemställt, hvaremot Andra kammaren bifallit den af herr Ericsson i Ofvanmyra m. fl. afgifna, vid betänkandet fogade reservationen.</w:t>
        <w:br/>
        <w:br/>
        <w:t>Af en jämförelse mellan de af kamrarna godkända, singemellan delvis skiljaktiga motiveringarna, i hvad de röra motionen I: 28 af herr Lindblad, framgår, att, medan Andra kammaren i princip godkänt motionärens förslag och gjort dettas innebörd till föremål för begäran om utredning, Första kammaren åter ansett de af motionären anmärkta missförhållandena kunna och böra afhjälpas genom andra åtgärder än den af motionären föreslagna. Med hänsyn till beskaffenheten af den sålunda förefintliga meningsskiljaktigheten, har, enligt utskottets åsikt, den i berörda motion väckta frågan för innevarande riksdag förfallit; hvilket utskottet härmed får för Riksdagen</w:t>
        <w:br/>
        <w:br/>
        <w:t>Hvad angår motionen I: 52 af herr Bellinder, hafva kamrarna, med lika lydande motivering, i så måtto stannat i olika beslut, att Andra kammaren affattat sin framställning i anled. ning af motionen såsom en begäran om själfständig utredning,</w:t>
        <w:br/>
        <w:br/>
        <w:t>Denna skiljaktighet torde icke hafva någon egentligen saklig innebörd; och utskottet har föreställt sig, att enighet i denna fråga bör kunna vinnas på sådant sätt, att Andra kammaren i den delen biträder Första kammarens beslut.</w:t>
        <w:br/>
        <w:br/>
        <w:t>»Hvad slutligen angår den i motionen II: 122, af herrar Byström och Broomé i Högbo föreslagna förändringen i de särskilda bolagsstyrelsernas sammansättning, synes genom anordnandet af en öfverstyrelse för samtliga bolag, på sätt utskottet ofvan ifrågasatt, det allmännas intresse blifva tillräckligt tillgodosedt, hvadan den af motionärerna föreslagna åtgärden ej torde vara för det afsedda ändamålet erforderlig».</w:t>
        <w:br/>
        <w:br/>
        <w:t>Andra kammaren åter har i sin begäran om utredning inbegripit jämväl berörda motion och såsom motivering härför godkänt följande del af ofvannämnda reservation:</w:t>
        <w:br/>
        <w:br/>
        <w:t>&gt;Hvad slutligen angår den af herrar Byström och Broomé i Högbo föreslagna förändring i de särskilda bolagsstyrelsernas sammansättning, torde genom anordnandet af en öfverstyrelse för samtliga bolag, på sätt utskottet ofvan förordat, det allmännas intresse blifva i väsentlig mån tillgodosedt. Det vill dock synas utskottet, som om Göteborgssystemets princip lättare kunde göra sig gällande, efter hvarje orts särskilda förhållanden, om motionärernas förslag äfven vunne beaktande. Utan att närmare inlåta sig på styrelsernas sammansättning, hvilket bör bli föremål för utredning, vill utskottet dock uttala som sin uppfattning, att öfvervägande skäl synas tala för att styrelsernas flertal böra utses af det allmänna».</w:t>
        <w:br/>
        <w:br/>
        <w:t>Den meningsskiljaktighet, som i sistberörda fråga kommit till uttryck, synes utskottet kunna på sådant sätt sammanjämkas, att utredning begäres i den i motionen afhandlade frågan, med anförande af den motivering, hvarom utskottet här nedan gör hemställan.</w:t>
        <w:br/>
        <w:br/>
        <w:t>I anslutning till hvad ofvan anförts får utskottet hemställa,</w:t>
        <w:br/>
        <w:br/>
        <w:t>»I en annan af de väckta motionerna hafva föreslagits ändrade bestämmelser angående sammansättningen af bolagens styrelser, i syfte att det allmänna måtte i dem blifva starkare representeradt.</w:t>
        <w:br/>
        <w:br/>
        <w:t>Genom anordnandet af en öfverstyrelse för samtliga bolag på sätt Riksdagen ofvan förordat, synes det allmännas intresse blifva i väsentlig mån tillgodosedt. Riksdagen förutsätter emellertid, att frågan om styrelsernas sammansättning blir föremål för särskildt öfvervägande vid den utredning, som med denna Riksdagens skrifvelse åsyftas».</w:t>
        <w:br/>
        <w:br/>
        <w:t>Under förutsättning af Riksdagens bifall till hvad utskottet sålunda ofvan under 1:o och 2:o föreslagit, hemställer utskottet,</w:t>
      </w:r>
    </w:p>
    <w:p>
      <w:pPr>
        <w:pStyle w:val="Heading2"/>
      </w:pPr>
      <w:r>
        <w:t>2. Ernst Lindblad (Lantmannapartiet, man)</w:t>
      </w:r>
    </w:p>
    <w:p>
      <w:r>
        <w:rPr>
          <w:b w:val="0"/>
        </w:rPr>
        <w:t>Jag ber att få påpeka, att i utskottets nu föreliggande sammanjämkningsförslag är det en punkt — den sista på sid. 16 i utskottets första betänkande, som börjar: »Till sist vill utskottet med afseende å den här ofvan förordade utredning framhålla» etc. — som är utelämnad; men då denna punkt finnes såväl i Första som i Andra kammarens beslut, torde det vara riktigt, att denna mening inflyter, i all synnerhet som herr Bellinder och äfven jag själf under debatten här i kammaren funno anledning att däri inlägga en betydelse, som innebar en viss utvidgning af en blifvande kommittéutredning.</w:t>
      </w:r>
    </w:p>
    <w:p>
      <w:pPr>
        <w:pStyle w:val="Heading2"/>
      </w:pPr>
      <w:r>
        <w:t>3. Alexis Hammarström (Första kammarens nationella parti, man)</w:t>
      </w:r>
    </w:p>
    <w:p>
      <w:r>
        <w:rPr>
          <w:b w:val="0"/>
        </w:rPr>
        <w:t>Det äger sin riktighet det sakförhållande, som den föregående ärade talaren meddelade kammaren. Men anledningen till att det ifrågavarande stycket icke förekommer i det utdelade riksdagstrycket är allenast ett förbiseende, vare sig det nu beror på tryckeriexpeditionen eller på utskottets kansli. I hvarje fall har man, så snart felet upptäcktes, gått i</w:t>
        <w:br/>
        <w:br/>
        <w:t xml:space="preserve">rättelse, där sålunda det felande stycket influtit, och som kommer att nu omedelbart utdelas i kamrarna. ”Tryckningstillstånd beträffande kartongbladet meddelades redan i går eftermiddag, och måste äfven det förhållandet, att utdelningen icke redan ägt rum, bero på ett förbiseende, och i detta fall från tryckeriexpeditionens sida. I det rättade trycket förekommer nu en passus, så lydande: »Slutligen vill Riksdagen framhålla, att för denna utredning icke torde böra på förhand uppdragas alltför snäfva gränser. En ganska grundlig revision af hithörande bestämmelser är förvisso behöflig för ett rätt tillgodoseende af de intressen, </w:t>
      </w:r>
      <w:r>
        <w:rPr>
          <w:b/>
        </w:rPr>
        <w:t>systerbolagen²</w:t>
      </w:r>
      <w:r>
        <w:rPr>
          <w:b w:val="0"/>
        </w:rPr>
        <w:t xml:space="preserve"> äro afsedda att tillvarataga, och en närmare undersökning kan möjligen komma att gifva vid handen, att äfven andra åtgärder än de af Riksdagen förordade kunna visa sig erforderliga för ändamålets vinnande». Om kamrarna godkänna skrifvelseförslaget, torde således äfven detta stycke komma att inflyta i Riksdagens skrifvelse.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