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1200</w:t>
      </w:r>
    </w:p>
    <w:p>
      <w:r>
        <w:rPr>
          <w:b/>
        </w:rPr>
        <w:t xml:space="preserve">Datum: </w:t>
      </w:r>
      <w:r>
        <w:t>1912-02-14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Adelswärd (Liberala samlingspartiet, man)</w:t>
      </w:r>
    </w:p>
    <w:p>
      <w:r>
        <w:rPr>
          <w:b w:val="0"/>
        </w:rPr>
        <w:t xml:space="preserve">Herr talman, mina herrar! Jag inser så väl, att många känna sympatier för de skäl, som af herr Lindhagen och andra talare uttalats för utsträckning af rätten äfven för gifta </w:t>
      </w:r>
      <w:r>
        <w:rPr>
          <w:b/>
        </w:rPr>
        <w:t>kvinnor¹</w:t>
      </w:r>
      <w:r>
        <w:rPr>
          <w:b w:val="0"/>
        </w:rPr>
        <w:t xml:space="preserve"> till dessa ordinarie platser, men äfven bland dem, som uttalat sig i denna riktning, hafva de flesta framhållit, hurusom dock det förslag, som Kungl. Maj:t framlagt och som i hufvudsak biträdts af statsutskottet, innebär ett mycket stort steg framåt. Det har också af flera talare framhållits, att detta förslag utgör, såsom man säger, en gyllene medelväg, och det synes mig vara lämpligt, att man börjar med att taga detta steg framåt och möjligen framdeles fortsätter ytterligare i den riktning, som nu af herr Lindhagen påyrkats.</w:t>
        <w:br/>
        <w:br/>
        <w:t>Mot herr Rydéns anmärkning, att det endast skulle medföra</w:t>
        <w:br/>
        <w:br/>
        <w:t xml:space="preserve">utgifter för de gifta </w:t>
      </w:r>
      <w:r>
        <w:rPr>
          <w:b/>
        </w:rPr>
        <w:t>kvinnorna¹</w:t>
      </w:r>
      <w:r>
        <w:rPr>
          <w:b w:val="0"/>
        </w:rPr>
        <w:t xml:space="preserve"> att nödgas gå till Kungl. Maj:t Ang. skrifbiför att söka ordinarie plats, vill jag erinra, att, om ansökningen pfa nigorl rs mötes med afslag, vållas ingen kostnad för sökanden, och om revisionen den bifalles, lär äfven i detta fall expeditionen af ett dylikt aflöning. Kungl. Maj:ts beslut kunna lämnas på sådant sätt, att icke någon = (Forts.) kostnad uppstår för sökanden.</w:t>
        <w:br/>
        <w:br/>
        <w:t>Då utskottets hemställan endast i oväsentliga punkter afviker från Kungl. Moj:ts proposition, har jag icke anledning motsätta mig densamma, utan ber jag få hemställa, att kammaren i likhet med Första kammaren ville biträda utskottets förslag.</w:t>
      </w:r>
    </w:p>
    <w:p>
      <w:pPr>
        <w:pStyle w:val="Heading2"/>
      </w:pPr>
      <w:r>
        <w:t>2. Värner Ryden (Socialdemokraterna, man)</w:t>
      </w:r>
    </w:p>
    <w:p>
      <w:r>
        <w:rPr>
          <w:b w:val="0"/>
        </w:rPr>
        <w:t>Herr talman! Jag har icke begärt ordet för att framställa ett yrkande, utan endast för att yttra något, som jag icke hann att säga före afslutandet af debatten angående förra punkten. Men då det här gäller precis samma sak, anser jag mig berättigad att nu göra ett inlägg, som jag då icke medhann.</w:t>
        <w:br/>
        <w:br/>
        <w:t>Det påstods nyss från något håll, att gemensam omröstning i frågor sådana som den föredragna icke skulle kunna äga rum. Jag sprang då ut för att hämta det sista prejudikat, som jag kunde erinra mig, nämligen frågan om fastställandet af tullverkets stat, hvilket ägde rum vid 1910 års riksdag. Då beslöt nämligen Andra kammaren — jag vill minnas, att det var på grund af motion af herr Jeansson i Kalmar — att till de villkor, som Kungl. Maj:t föreslagit för åtnjutande af aflöning enligt den nya staten, skulle fogas ett mom. 4:0) af denna lydelse: »att, med bibehållande af den i tullstadgan, $ 16 mom. 3:0), föreskrifna allmänna tjänstgöringstid, den i $ 185 af tullstadgan afsedda arbetstiden hos tullförvaltningarna i och för kontorsoch tullbehandlingsärenden, d. v. s. den s. k. allmänna expeditionstiden, skall öfver hela riket under tid, då seglation vid respektive tullplats pågår, utgöra minst sju timmar dagligen å söckendagar» samt »att tjänstemän och betjänte skola vara pliktige, då ej särskilda hinder möta, att å öfvertid mot i nämnda taxa bestämd ersättning utföra de tjänsteåtgärder, som de trafikerande enligt tullstadgan äga påfordra.»</w:t>
        <w:br/>
        <w:br/>
        <w:t>Första kammaren afslog detta yrkande. Frågan huruvida gemensam votering då skulle äga rum eller icke, var föremål för lifliga öfverläggningar i statsutskottet, men man enades om att gemensam votering här skulle ske.</w:t>
        <w:br/>
        <w:br/>
        <w:t>Jag har dragit bara detta sista exempel; men jag skulle kunna ur riksdagsprotokollen uppleta en rad af sådana för att visa, att icke någonsin det varit tveksamhet rådande huruvida gemensam votering kunde äga rum eller icke, så snart det gällt villkor och bestämmelser för åtnjutande af aflöning i statens tjänst. Jag ber öm ursäkt, att jag dristat mig att för denna sak begära ordet, men jag tror, att det är nödvändigt, att man</w:t>
        <w:br/>
        <w:br/>
        <w:t>ser upp från början, så att vi ej i en hastig vändning råka att Ang. aflökomma in på en uppfattning beträffande gemensamma voteringar, ”ingsvillkor</w:t>
        <w:br/>
        <w:br/>
        <w:t>&gt; 0 . va =D 2 : &lt;a] &gt; &gt;? för skrifbiträsom «j funnits förut i Riksdagen; och särskildt vill jag säga 4 a hofdetta på grund däraf, att ingen mindre än vice ordförauden i = rättsstat. statsutskottet gifvit uttryck åt den uppfattning, mot hvilken jag = (Forts. här vändt mig.</w:t>
      </w:r>
    </w:p>
    <w:p>
      <w:pPr>
        <w:pStyle w:val="Heading2"/>
      </w:pPr>
      <w:r>
        <w:t>3. Gustaf Andersson (Första kammarens protektionistiska parti, man)</w:t>
      </w:r>
    </w:p>
    <w:p>
      <w:r>
        <w:rPr>
          <w:b w:val="0"/>
        </w:rPr>
        <w:t xml:space="preserve">Herr talman, mina herrar! 65 $ i riksdagsordningen lyder sålunda: »När, i fråga om statsutgifter eller bevillning, eller om reglementariska föreskrifter för riksbanken, dess inkomster och utgifter, eller om ansvarsfrihet för fullmäktige i riksbanken, eller om riksgäldskontorets styrelse och förvaltning, inkomster och utgifter, kamrarna fatta stridiga beslut, som ej uppå vederbörligt utskotts förslag varda sammanjämkade, skola bägge kamrarna hvar för sig rösta om de olika beslut, hvari hvardera förut stannat»; o. s. v. Således är det väl ändå fråga om, huruvida det ämne, hvarom det skall voteras, på något sätt vidrör statens utgifter eller inkomster. Detta kan man säga att det gör, när det är fråga om huruvida en tulltjänsteman skall arbeta sju eller sex timmar på tjänsterummet. Därigenom beröras statens utgifter eller inkomster; men då det, såsom här i mom. 6), är fråga om »att gift </w:t>
      </w:r>
      <w:r>
        <w:rPr>
          <w:b/>
        </w:rPr>
        <w:t>kvinna¹</w:t>
      </w:r>
      <w:r>
        <w:rPr>
          <w:b w:val="0"/>
        </w:rPr>
        <w:t xml:space="preserve"> må till biträdestjänst befordras allenast efter af Kungl. Maj:t på framställning i hvarje särskildt fall lämnadt medgifvande», då beröras enligt min mening alls icke statens vare sig utgifter eller inkomster.</w:t>
        <w:br/>
        <w:br/>
        <w:t>Det är således två fullkomligt skilda saker det här gäller; och jag för min del anser, så som jag läst författningen, att det här icke kan röstas gemensamt.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