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1203</w:t>
      </w:r>
    </w:p>
    <w:p>
      <w:r>
        <w:rPr>
          <w:b/>
        </w:rPr>
        <w:t xml:space="preserve">Datum: </w:t>
      </w:r>
      <w:r>
        <w:t>1912-02-21</w:t>
      </w:r>
    </w:p>
    <w:p>
      <w:r>
        <w:rPr>
          <w:b/>
        </w:rPr>
        <w:t xml:space="preserve">Kammare: </w:t>
      </w:r>
      <w:r>
        <w:t>Andra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Herr talman! Det är alldeles riktigt, hvad herr Daniel Persson framhållit. Det förhåller sig verkligen så, att enligt instruktionen för bankoutskottet är revisionen af riksgäldsoch bankofullmäktiges förvaltning dubbel, i det den förrättas både af statsrevisorerna och bankoutskottet utom för tiden från och med den 1 oktober till midten af januari följande år, för hvilken tid statsrevisorerna icke underkasta dessa verks förvaltning någon granskning, utan granskningen sker då enbart från bankoutskottets sida.</w:t>
        <w:br/>
        <w:br/>
        <w:t>Huru detta bruk uppstått, kan jag för min del icke säga. Såvidt jag kan se, finnes i lag och författning intet, som föreskrifver, att tiden för granskningen af förvaltningen skall vara olika mot tiden för granskningen af räkenskaperna. I regeringsformens 8 72 talas endast om granskning af räkenskaperna, och där står ingenting annat, än att denna revision skall omfatta ett års afslutade räkenskaper.</w:t>
        <w:br/>
        <w:br/>
        <w:t>Jag har intet annat yrkande än om bifall till utskottets hemställan.</w:t>
        <w:br/>
        <w:br/>
        <w:t xml:space="preserve">Mannen hafve ej makt att sälja, skifta, bortgifva eller med inteckning för gäld, eller med servitut belasta </w:t>
      </w:r>
      <w:r>
        <w:rPr>
          <w:b/>
        </w:rPr>
        <w:t>hustruns²</w:t>
      </w:r>
      <w:r>
        <w:rPr>
          <w:b w:val="0"/>
        </w:rPr>
        <w:t xml:space="preserve"> enskilda fasta egendom eller sådan egendom, som makarna under äktenskapet gemensamt förvärfvat och som af mannen förvaltas, utan att han hafver </w:t>
      </w:r>
      <w:r>
        <w:rPr>
          <w:b/>
        </w:rPr>
        <w:t>hustruns²</w:t>
      </w:r>
      <w:r>
        <w:rPr>
          <w:b w:val="0"/>
        </w:rPr>
        <w:t xml:space="preserve"> frivilliga ja och underskrift i tvenne godemäns närvaro, ej heller utan sådant samtycke sluta aftal, hvarigenom å egendomen lägges servitut, eller upplåta rätt till afkomst af egendomen eller rätt att annorledes än för egendomens behof afverka skog därå.</w:t>
        <w:br/>
        <w:br/>
        <w:t xml:space="preserve">Mannen hafve ej makt att sälja, skifta, bortgifva eller med inteckning för gäld belasta </w:t>
      </w:r>
      <w:r>
        <w:rPr>
          <w:b/>
        </w:rPr>
        <w:t>hustruns²</w:t>
      </w:r>
      <w:r>
        <w:rPr>
          <w:b w:val="0"/>
        </w:rPr>
        <w:t xml:space="preserve"> enskilda fasta egendom, som af honom förvaltas, eller fast egendom, däri </w:t>
      </w:r>
      <w:r>
        <w:rPr>
          <w:b/>
        </w:rPr>
        <w:t>hustrun²</w:t>
      </w:r>
      <w:r>
        <w:rPr>
          <w:b w:val="0"/>
        </w:rPr>
        <w:t xml:space="preserve"> äger giftorätt, utan att han hafver </w:t>
      </w:r>
      <w:r>
        <w:rPr>
          <w:b/>
        </w:rPr>
        <w:t>hustruns²</w:t>
      </w:r>
      <w:r>
        <w:rPr>
          <w:b w:val="0"/>
        </w:rPr>
        <w:t xml:space="preserve"> frivilliga ja och underskrift i tvenne godemäns närvaro, ej heller att utan sådant samtycke sluta aftal, hvarigenom å egendomen lägges servitut, eller upplåta rätt till afkomst af egen-</w:t>
      </w:r>
    </w:p>
    <w:p>
      <w:pPr>
        <w:pStyle w:val="Heading2"/>
      </w:pPr>
      <w:r>
        <w:t>2. Lars Johan Carlsson Frosterud (Socialdemokraterna, man)</w:t>
      </w:r>
    </w:p>
    <w:p>
      <w:r>
        <w:rPr>
          <w:b w:val="0"/>
        </w:rPr>
        <w:t>Herr talman, mina herrar! Den här föreliggande frågan är ju af ganska gammalt datum och har vid flera olika tillfällen varit föremål för debatt i Riksdagen. Utskottet säger också, att den har varit föremål för liflig uppmärksamhet, och detta visar ju ganska bra, att förhållandena äro afvita, och att en rättelse med första möjliga bör komma till stånd.</w:t>
        <w:br/>
        <w:br/>
        <w:t>Nu säger utskottet emellertid, att detsamma för sin del icke kan tillstyrka bifall till motionen, därför att den endast afser en detaljfråga i det hela. Såsom varande icke jurist kan jag naturligtvis icke bestämdt opponera mig mot något dylikt, utan får väl taga för gifvet, att så är förhållandet, men jag kan i alla fall icke heller komma ifrån, att reservanterna också förstå sig bra på saken, och att det icke kan vara ur vägen att lösa frågan på sätt, som de i sin reservation ha begärt, och därför vill jag i allra största korthet yrka bifall till densamma.</w:t>
        <w:br/>
        <w:br/>
        <w:t>Jag finner frågan vara af sådan art och beskaffenhet, att det vore önskvärdt, att den blefve löst med allra första. Det är ju möjligt, att lagberedningen kommer att skänka denna detalj i frågan sin uppmärksamhet och göra sitt bästa för att lösa den i föreskrifven riktning, men det är väl också troligt, att vi komma att få vänta på resultatet af lagberedningens arbete ganska länge, och under tiden gå många intressen förlorade.</w:t>
        <w:br/>
        <w:br/>
        <w:t>Jag ber, som sagdt, herr talman, att med dessa ord få yrka bifall till reservationen härvidlag.</w:t>
      </w:r>
    </w:p>
    <w:p>
      <w:pPr>
        <w:pStyle w:val="Heading2"/>
      </w:pPr>
      <w:r>
        <w:t>3. Johan Widen (Utan partibeteckning, man)</w:t>
      </w:r>
    </w:p>
    <w:p>
      <w:r>
        <w:rPr>
          <w:b w:val="0"/>
        </w:rPr>
        <w:t>Herr talman, mina herrar! Som af utskottets betänkande och äfven af de föregående talarnes yttranden framgår, äro utskottet, motionären och reservanterna öfverens däruti, att det behöfs en ändring i den bestående lagstiftningen på detta område. Detta har nämligen äfven utskottet granneligen förklarat särskildt därigenom, att det refererat och anslutit sig till det program, som framlagts af de delegerade för de tre nordiska länderna rörande anordnande af lagstiftningsarbetet för framtiden inom detta rättsom-</w:t>
        <w:br/>
        <w:br/>
        <w:t>råde. I själfva verket är jag — och utskottet med mig — af den åsikt — och jag gissar, att detta äfven är de ärade reservanternas ståndpunkt — att det behöfves en vida grundligare förändring i</w:t>
        <w:br/>
        <w:br/>
        <w:t>lagstiftningen på detta område än den, som motionären föreslagit. Utom all fråga kommer den lagstiftning, till hvilken vi snart ha att vänta förslag från lagberedningen, att utgå från en mycket grundlig omläggning af reglerna för mannens och hustrans egendomsför-</w:t>
        <w:br/>
        <w:br/>
        <w:t xml:space="preserve">hållanden under äktenskapet. Särskildt med hänsyn därtill synes det vara föga skäl att med afseende på en detalj nu vidtaga en mer eller mindre provisorisk förändring däruti. Som herrarne finna af betänkandet, har, hvilket den förste talaren också antydde, denna fråga varit föremål för Riksdagens uppmärksamhet alltsedan år 1884; och då den har väntat på sin lösning så länge och, enligt hvad det uppgifvits från lagberedningen, denna med sannolikhet tager detta ämne före nästa år, synes det mig, att man icke har skäl att nu brådska så mycket. Jag tror dessutom förvisso, att det med afseende på de förhållanden, man här vill ordna, har blifvit bättre och bättrel Den större uppmärksamhet, som mannens och </w:t>
      </w:r>
      <w:r>
        <w:rPr>
          <w:b/>
        </w:rPr>
        <w:t>hustruns²</w:t>
      </w:r>
      <w:r>
        <w:rPr>
          <w:b w:val="0"/>
        </w:rPr>
        <w:t xml:space="preserve"> rättsförhållanden i äktenskapet, särskildt med afseende på egendomsrätten, på de senare åren tilldragit sig, allt arbete, som är nedlagdt på detta ämne, har nog gjort, att förhållandena i allt fall äro bättre nu, än de voro vare sig 1884 eller 1898. Det föreligger förvisso mindre skäl nu än förr, hvarför en förändring omedelbart skulle behöfva företagas. Att det emellertid är ett önskemål att komma dithän, som motionären vill, det har utskottet erkänt, och det torde de allra flesta numera vara öfverens om. Det är uppenbart, att detta äfven är lagberedningens mening.</w:t>
        <w:br/>
        <w:br/>
        <w:t>Nu är det emellertid så, att lagstiftningen på detta område är högst invecklad; och det är därför icke så godt att säga, huruvida ett inflickande däri af en bestämmelse sådan som motionären föreslagit skulle låta verkställa sig utan att det komme i strid med lagstiftningen på detta område i öfrigt. Jag är icke beredd att svara härför och jag har svårt att tro, att reservanterna själfva äro så säkra på saken. Visserligen framhålla de, att det är nya lagberedningen, som författat det förslag, hvilket här föreligger; men jag vill erinra, att det visserligen är nya lagberedningens förslag, men att när den skref detta, ingick det såsom ett led i ett mycket omfattande lagförslag. Detta lagförslag är emellertid icke det, som föreligger i gällande lag. Det blef, som herrarne finna af motiveringen, aldrig framlagdt, utan den lagstiftning, som kom till stånd år 1898, var en annan än den, som nya lagberedningen föreslagit. Jag tror knappast, att man därför af det förhållandet att detta stadgande är formuleradt af nya lagberedningen, kan draga den slutsatsen, att det duger att sätta in i den lagstiftning, som vi nu ha. Jag vill nämna, att jag i egenskap af lagutskottets ordförande vände mig till ordföranden i den nu arbetande lagberedningen med förfrågan om hans tanke härom, och han yttrade då för sin del den meningen, att det skulle vara högst riskabelt att försöka lappa på den gällande lagen med något nytt sådant, som nu föreslagits, utan en mycket grundlig undersökning.</w:t>
        <w:br/>
        <w:br/>
        <w:t>Då man här är öfverens i sak, är det genom ett bifall till det nu föreliggande förslaget icke något att vinna. Första kammaren har redan antagit utskottets förslag, och det tjänar, praktiskt taget, ej något till, att Andra kammaren beslutar annorlunda — nå det skulle</w:t>
        <w:br/>
        <w:br/>
        <w:t>ju inte, om man här trodde sig ernå någon vinst, böra afhålla Andra kammaren från att göra det. Men då så ej är förhållandet och man dessutom icke kan vara öfvertygad om, att den föreslagna bestämmelsen skulle dnga att sätta in i den nu gällande lagen, kan jag icke annat än hålla på utskottets ståndpunkt, att motionen ej bör föranleda till någon Riksdagens åtgärd.</w:t>
        <w:br/>
        <w:br/>
        <w:t>Jag ber sålunda att få yrka bifall till utskottets hemställan.</w:t>
      </w:r>
    </w:p>
    <w:p>
      <w:pPr>
        <w:pStyle w:val="Heading2"/>
      </w:pPr>
      <w:r>
        <w:t>4. Carl Lindhagen (Socialdemokraterna, man)</w:t>
      </w:r>
    </w:p>
    <w:p>
      <w:r>
        <w:rPr>
          <w:b w:val="0"/>
        </w:rPr>
        <w:t>Det lönar sig ej så mycket att tala om sådana här saker, där juristerna äro så betänksamma. Emellertid är det ju så, att det vanliga lekmannaomdömet och lifvets erfarenheter ha fordrat denna reform ända sedan 1884. Huru många småbondehem och småbrukarhem, som blifvit sköflade under väntetiden, vill jag ej ens tänka på; visst är, att de äro mycket talrika.</w:t>
        <w:br/>
        <w:br/>
        <w:t xml:space="preserve">Man har nu de juridiska invändningarna, men de ha aldrig gått längre, än att det kanske är farligt att göra denna lagändring; man har, jag vågar säga det, aldrig klart gjort gällande, att saken är ogörlig, utan man har inskränkt sig till att framhålla, att det är möjligen något ganska äfventyrligt för sammanhanget i lagtexterna. Man har fått för sig något slags schema och säger, att denna lagstiftning är så svår och invecklad, att man icke bör göra någonting alls härvidlag, äfven om det gagnade människorna. Nu är det så, att den här saken faller icke af en slump omotiveradt ned i lagtexten, utan den skulle utomordentligt lagom inflickas just ibland sådana bestämmelser, som äro gifna för en del analoga undantagsfall, och det var i detta sammanhang, som också 1886 års lagberedning infogade det nu föreslagna stadgandet. Stadgandena om </w:t>
      </w:r>
      <w:r>
        <w:rPr>
          <w:b/>
        </w:rPr>
        <w:t>hustruns²</w:t>
      </w:r>
      <w:r>
        <w:rPr>
          <w:b w:val="0"/>
        </w:rPr>
        <w:t xml:space="preserve"> enskilda egendom och huru den skall skyddas de voro krångliga att skrifva, men de äro ju nu skrifna, och vi behöfva således icke tänka på något annat, än att medtaga detta slags fastighet också, och det var detta, som lagberedningen gjorde.</w:t>
        <w:br/>
        <w:br/>
        <w:t>Jag vet icke, hvad jag egentligen skall säga för att få fram frågans närmare innebörd — det är svårt att få något grepp om saken, som gör det möjligt att förstå, hvad den gäller. Men de synpunkter, som härvidlag, såvidt reservanterna förstått, böra beaktas, äro angifna i reservationen på sidan 9 i mellersta stycket, och där kunna herrarne läsa, hvad vi mena om denna sak.</w:t>
        <w:br/>
        <w:br/>
        <w:t xml:space="preserve">Jag undrar i alla fall, när vi skola komma därhän i riksförsamlingen, att vi icke äro så klenmodiga och rädda för det skrämskottet, att formerna icke skola passa oss. När skola vi komma därhän, att vi finna det vara vårt uppdrag att råda bot, när det för ögonblicket behöfs, hvilket väl är det allra viktigaste? När det nu faktiskt är så, att </w:t>
      </w:r>
      <w:r>
        <w:rPr>
          <w:b/>
        </w:rPr>
        <w:t>hustrurnas²</w:t>
      </w:r>
      <w:r>
        <w:rPr>
          <w:b w:val="0"/>
        </w:rPr>
        <w:t xml:space="preserve"> kamp för hemmet är det, som frågan här gäller, så blir saken bebjärtansvärd. Den som varit litet med om undersökningar af detta slag, såsom t. ex. i Norrlandsfrågan, har varit i tillfälle att konstatera, hurusom </w:t>
      </w:r>
      <w:r>
        <w:rPr>
          <w:b/>
        </w:rPr>
        <w:t>hustrurna²</w:t>
      </w:r>
      <w:r>
        <w:rPr>
          <w:b w:val="0"/>
        </w:rPr>
        <w:t xml:space="preserve"> ofta kämpade en envis kamp mot de lockelser, för hvilka mannen lättare föll, när</w:t>
        <w:br/>
        <w:br/>
        <w:t>de komma på obestånd, och det är verkligen en upprörande brist på realpolitik att bara hänvisa till juridiska bekvämlighetsskäl och undanflykter, att det kanske icke går så bra ihop med formen, och sedan därför låta olyckor gå ut öfver människor. Nu är jag ju också jurist och också så feg, att, om jag skulle finna, att det gick på sned med formen, så skulle äfven jag kunna gifva vika för de formella betänkligheterna. Men nu ser jag, att utsikterna för juristerna att bära hem den triumfen i detta fall äro ganska ringa. Och om den olyckan verkligen skulle inträffa, att lekmännen inom Riksdagen någon gång skakade af sig juristväldet och lagstiftade för sina kommittenter i ett fall som detta, hvad skulle då inträffa för farligt? Jo, intet annat i värsta fall än att lagrådet och Kungl. Maj:t, som hade att ägna förslaget en ingående granskning, skulle finna, att mot detta förslag reste sig verkligen stora betänkligheter. Då blefve förslaget afslaget, om dessa betänkligheter i sista hand blefve afgörande. Men detta vore ingen skam för Riksdagen, att den i första rummet tänker på lifvet och i andra rummet på formerna, och därför ber jag att få yrka bifall till reservationen.</w:t>
        <w:br/>
        <w:br/>
        <w:t xml:space="preserve">att nå det mål, som vi alla vilja vinna, nämligen att bereda den gifta </w:t>
      </w:r>
      <w:r>
        <w:rPr>
          <w:b/>
        </w:rPr>
        <w:t>kvinnan¹</w:t>
      </w:r>
      <w:r>
        <w:rPr>
          <w:b w:val="0"/>
        </w:rPr>
        <w:t xml:space="preserve"> rättvisa, icke genom att inskränka mannens målsmansskap inom den nuvarande lagstiftningens ram, utan snarare genom att helt och hållet afskaffa målsmansskapet. Nu är det klart, att det ej kan dröja så synnerligen länge, innan lagberedningens förslag i detta afseende föreligger, och det kan således ej heller dröja så länge, förrän Riksdagen har att besluta i denna viktiga fråga. Men då vore det väl ganska egendomligt, om Riksdagen under, hvad jag skulle vilja kalla det gamla systemets allra sista tid skulle taga ut en sten ur systemet och sätta in en annan i stället, för att sedan om några år kasta omkull det hela. Jag tycker, att man skall vara bra förälskad i provisorisk lagstiftning öfver hufvud taget, för att vilja lagstifta på det sättet.</w:t>
        <w:br/>
        <w:br/>
        <w:t xml:space="preserve">För öfrigt är det icke så alldeles säkert, som herr Lindhagen säger, att det icke är någon eller ringa risk att nu göra denna lilla rubbning. Jag vågar ej komma med ett bestämdt påstående i motsatt riktning, men jag tillåter mig att fästa uppmärksamheten på att boskillnadslagen har ett visst sammanhang med 9 kap. giftermålsbalken, hvilket sammanhang ej torde böra lämnas obeaktadt, då man vill på rak arm skrifva ny lag på detta område. Sålunda upptager boskillnadslagen vissa fall, då </w:t>
      </w:r>
      <w:r>
        <w:rPr>
          <w:b/>
        </w:rPr>
        <w:t>hustrun²</w:t>
      </w:r>
      <w:r>
        <w:rPr>
          <w:b w:val="0"/>
        </w:rPr>
        <w:t xml:space="preserve"> äger rätt att ensidigt begära boskillnad. Det kan </w:t>
      </w:r>
      <w:r>
        <w:rPr>
          <w:b/>
        </w:rPr>
        <w:t>hon²</w:t>
      </w:r>
      <w:r>
        <w:rPr>
          <w:b w:val="0"/>
        </w:rPr>
        <w:t xml:space="preserve"> göra bland annat, då </w:t>
      </w:r>
      <w:r>
        <w:rPr>
          <w:b/>
        </w:rPr>
        <w:t>henne²</w:t>
      </w:r>
      <w:r>
        <w:rPr>
          <w:b w:val="0"/>
        </w:rPr>
        <w:t xml:space="preserve"> tillhörig enskild egendom eller ock gemensam egendom, hvaröfver </w:t>
      </w:r>
      <w:r>
        <w:rPr>
          <w:b/>
        </w:rPr>
        <w:t>hon²</w:t>
      </w:r>
      <w:r>
        <w:rPr>
          <w:b w:val="0"/>
        </w:rPr>
        <w:t xml:space="preserve"> äger råda, blifvit använd för betalning af skuld, för hvilken </w:t>
      </w:r>
      <w:r>
        <w:rPr>
          <w:b/>
        </w:rPr>
        <w:t>hustruns²</w:t>
      </w:r>
      <w:r>
        <w:rPr>
          <w:b w:val="0"/>
        </w:rPr>
        <w:t xml:space="preserve"> enskilda egendom icke svarar, så ock då mannen obehörigen förfogat öfver sådan egendom, d. v. 8. enskild egendom eller gemensam, hvaröfver </w:t>
      </w:r>
      <w:r>
        <w:rPr>
          <w:b/>
        </w:rPr>
        <w:t>hustrun²</w:t>
      </w:r>
      <w:r>
        <w:rPr>
          <w:b w:val="0"/>
        </w:rPr>
        <w:t xml:space="preserve"> äger råda. Om man nu gör den ändringen i giftermålsbalken, att mannen icke får förfoga öfver den gemensamma fasta egendom, hvaröfver han förut ensam förfogat, utan att </w:t>
      </w:r>
      <w:r>
        <w:rPr>
          <w:b/>
        </w:rPr>
        <w:t>hustrun²</w:t>
      </w:r>
      <w:r>
        <w:rPr>
          <w:b w:val="0"/>
        </w:rPr>
        <w:t xml:space="preserve"> ger sitt samtycke, så förefaller det mig, som om man kunde sätta i fråga, att boskillnadslagen skulle så tillvida ändras, att </w:t>
      </w:r>
      <w:r>
        <w:rPr>
          <w:b/>
        </w:rPr>
        <w:t>hustrun²</w:t>
      </w:r>
      <w:r>
        <w:rPr>
          <w:b w:val="0"/>
        </w:rPr>
        <w:t xml:space="preserve"> fick uttrycklig rätt till boskillnad äfven i det fall, att mannen obehörigen förfogat öfver makarnes gemensamma fasta egendom, oaktadt för sådant förfogande lagligen erfordrats </w:t>
      </w:r>
      <w:r>
        <w:rPr>
          <w:b/>
        </w:rPr>
        <w:t>hustruns²</w:t>
      </w:r>
      <w:r>
        <w:rPr>
          <w:b w:val="0"/>
        </w:rPr>
        <w:t xml:space="preserve"> samtycke.</w:t>
        <w:br/>
        <w:br/>
        <w:t>Herr talman, då jag således icke kan finna, att här föreligga några exceptionella skäl, som tala för en provisorisk lagstiftning — hvilken man i allmänhet icke bör anse för något godt — och då Jag för öfrigt icke är öfvertygad om att ändringen i lagen på detta ställe låter sig verkställas utan en föregående noggrann undersökning, om den icke också påkallar ändring af andra lagrum, så ber jag få yrka bifall till utskottets hemställan.</w:t>
        <w:br/>
        <w:br/>
        <w:t>sade, att juristerna i allmänhet medgifva, att det vore bra, om denna lagändring kunde komma till stånd, och att det också bör ske. Men</w:t>
        <w:br/>
        <w:br/>
        <w:t>Ang. ändring detta medgifvande är billigt, då det icke är gifvet med verkliga i giftermålskänslor af ansvar för hvad saken gäller i verkligheten, ty då skulle</w:t>
        <w:br/>
        <w:br/>
        <w:t>nog de juridiska betänkligheterna öfvervinnas, och man skulle gå med på detta förslag. Man hör nu dessa rättslärda aldrig erkänna, att det är något upprörande detta, man hör dem aldrig grufva sig öfver, att det är förskräckligt att se dessa människor ta skada, och att det är något pinsamt, att de icke kunna göra något för dem. Detta hör man aldrig, utan de säga med det gladaste leende: det vilja vi vara med om, men icke nu, vi kunna ej för formernas skull. Med andra ord, det beror så mycket på, hur man känner i denna sak.</w:t>
        <w:br/>
        <w:br/>
        <w:t>Vi känna så väl till det där talet om att lagberedningen skall komma att gå ännu längre. Men det utgör väl ej någon anledning för oss att nu icke taga ett steg, som går i den riktningen, om man därmed kan hjälpa en del människor.</w:t>
        <w:br/>
        <w:br/>
        <w:t>Den siste talaren talade om risken af ett kammarens bifall till förslaget. Jag kan emellertid, som sagdt, ej finna annat, än att risken är högst den, att Kungl. Maj:t säger, att man icke kan taga detta steg nu af juridiska skäl. Det är enligt mitt förmenande den enda risken. För öfrigt har Riksdagen förut antagit lagförslag i medvetande af, att det ej kanske var så helt med det formella, och sedan har Kungl. Maj:t kommit till Riksdagen med proposition och kompletterat förslaget i juridiskt afseende. Det var ock en gång, enligt min upplefvelse, som Riksdagen på rak arm gaf sig in på en minst lika svår fråga, och jag förundrade mig då öfver att lagutskottet kunde förmå sig att drifva fram saken. Det visar emellertid, att om man bara vill, så går det nog för sig. Det fall jag syftar på, var, när herr Åkerlund väckte en motion, att man skulle bereda utvägar för soldattorps frigörande från inteckningar. Då sparade man på de juridiska betänkligheterna och såg bort från de krångligheter, som voro förenade med saken. Men det var då en stark opinion inom Riksdagen för att något borde göras, tv det var så många, som kände till förhållandena och drefvo på; och så kom härtill ytterligare, kanske att det var en högerman, som väckt förslaget, och då måste vänsterjuristerna öfvergifva betänkligheterna och vara med på saken. Det var nog måhända den frågans gåta.</w:t>
        <w:br/>
        <w:br/>
        <w:t>Herr Petersson i Lidingö villastad. Herr talman, mina herrar! Herr Lindhagen har anfört, att man i dessa ting bör se på det praktiska lifvet, och icke låta sig af teoretiska betänkligheter afskräckas från att göra en lagändring, som man i öfrigt finner lämplig och nyttig. Jag skall då be, mina herrar, att till de skäl, som förut anförts af dem, hvilka fört lagutskottets talan, få lägga ännu ett, hämtadt ur det praktiska lifvet. Jag skall be att få vädja till dem, som veta hur det går till på tingen på landet, och be dem tänka på, hvad det skulle innebära för alla de rättssökande, som där ha med inteckningsoch lagfartsärenden att göra. Detta nu föreslagna stad-</w:t>
        <w:br/>
        <w:br/>
        <w:t xml:space="preserve">gande, att vissa handlingar icke äro giltiga, med mindre de äfven äro försedda med </w:t>
      </w:r>
      <w:r>
        <w:rPr>
          <w:b/>
        </w:rPr>
        <w:t>hustruns²</w:t>
      </w:r>
      <w:r>
        <w:rPr>
          <w:b w:val="0"/>
        </w:rPr>
        <w:t xml:space="preserve"> underskrift, skulle naturligtvis leda till, att för hvarje sådan handling, som icke är försedd med </w:t>
      </w:r>
      <w:r>
        <w:rPr>
          <w:b/>
        </w:rPr>
        <w:t>hustrus²</w:t>
      </w:r>
      <w:r>
        <w:rPr>
          <w:b w:val="0"/>
        </w:rPr>
        <w:t xml:space="preserve"> underskrift, måste på ett eller annat sätt visas, att utfärdaren är behörig att ensam utfärda den. Således om mannen förvärfvat egendomen före äktenskapet eller han är änkling eller ogift, skall han vara försedd med prästbevis eller annan utredning om, hur det är ställdt med hans familjeförhållanden. Därigenom lägges på den allmänna samfärdseln en tynga, som mången gång kan bli svår att draga. Jag vill påpeka, att denna anmärkning icke är framställd nu första gången, utan den framfördes redan då det förslag, som fram- Jades 1888, förekom till granskning i högsta domstolen. Där uttalades dessa betänkligheter ur rent praktisk synpunkt mot att införa ett sådant stadgande i giftermålsbalken, så länge denna balk är byggd på de grunder, som den för närvarande är byggd på.</w:t>
        <w:br/>
        <w:br/>
        <w:t xml:space="preserve">Jag vill också påpeka, att om nu, såsom jag och alla lifligt önska, en revision af giftermålsbalken kommer, den ock må utmynna i väsentligt ökade garantier för </w:t>
      </w:r>
      <w:r>
        <w:rPr>
          <w:b/>
        </w:rPr>
        <w:t>hustruns²</w:t>
      </w:r>
      <w:r>
        <w:rPr>
          <w:b w:val="0"/>
        </w:rPr>
        <w:t xml:space="preserve"> rätt och underlätta bevarandet af denna rätt. Om dessa garantier då byggas på den grund, som nan med stöd af det i utskottets utlåtande citerade programuttalandet från Sveriges, Danmarks och Norges delegerade har anleduing tro, eller att egendomsskillnad varder så att säga det grundläggande för förmögenhetsförhållandena makarna emellan, ehuru på samma gång någon slags gemensamhet i boet kommer att finnas under det pestående äktenskapet, så skulle en interimistisk lagstiftning af den beskaffenhet, som herr Lindhagen nu påyrkat, ha till påföljd, att vi sedermera, hvarje gång då det vore fråga om någon viss sakrätt, såsom lagfart, inteckning, nyttjanderätt o. s. v., fingo undersöka, huru och under hvilken tid denna sakrätt tillkommit. Och vi hade då att göra med tre olika lagstiftningar. För det första den vi nu ha, vidare den under mellantiden, enligt denna interimistiska lagstiftning gällande, och slutligen den, som en gång kommer att bli följden af det nu pågående lagarbetet.</w:t>
        <w:br/>
        <w:br/>
        <w:t>Jag tror, att dessa praktiska betänkligheter äro af den vikt och betydelse, att det verkligen vore mycket olägligt, om förslaget nu blefve bifallet. Och då man ju har, såsom föregående talare påpekat, att inom en ganska nära framtid emotse ett verkligt enhetligt och på fullt moderna grunder byggdt förslag till ordnande af det rättsinstitut, makars egendomsförhållande, som det nu är fråga om, så tror jag, att det är det lyckligaste, om man låter det vara som det för närvarande är, tills vi ha detta förslag på bordet. Jag har därför för min del biträdt lagutskottets utlåtande i denna del, och jag har ingen anledning att icke nu yrka bifall till detsamma.</w:t>
      </w:r>
    </w:p>
    <w:p>
      <w:pPr>
        <w:pStyle w:val="Heading2"/>
      </w:pPr>
      <w:r>
        <w:t>5. Carl Öberg (Lantmanna- och borgarepartiet inom andrakammaren, man)</w:t>
      </w:r>
    </w:p>
    <w:p>
      <w:r>
        <w:rPr>
          <w:b w:val="0"/>
        </w:rPr>
        <w:t>Herr talman! Då Jag på ganska nära håll varit i tillfälle att bevittna och erfara de sorgliga följder, som understundom uppstå på landsbygden till följd af att mannen missbrukar</w:t>
        <w:br/>
        <w:br/>
        <w:t>sin målsmansrätt och pantsätter äkta makars gemensamma fastighet, kan jag omöjligt handla annorlunda än att på det allra lifligaste skänka mitt understöd åt den motion som här föreligger till afgörande. Ty det är, mina herrar, verkligen sorgliga följder, som många gånger kunna uppstå af det missbruk af målsmansrätten, som en del män tillåta sig. Huru många hem, där familjelycka, god ekonomi, frid och sämja förut varit rådande, ha icke förstörts, ödelagts och fallit i spillror till följd af dessa omständigheter! Då så är, herr talman, synes det mig icke vara en dag för tidigt, att statsmakterna, som böra ingripa och förekomma dylikt, också göra det, så att onödiga sorger och lidanden i hemmen så att säga förekommas.</w:t>
        <w:br/>
        <w:br/>
        <w:t xml:space="preserve">Här har till oss landsbygdsbor från mycket framstående juristhåll riktats en vädjan att vi, eller åtminstone de af oss, som något deltagit rättsförhandlingarna vid tingen på landet, borde tänka på, hvilka olägenheter och svårigheter, som skulle uppstå, om någonting i motionens syfte blefve åtgjordt. Låt vara, att det är viktigt att tänka på detta, så tillåter jag mig likvisst säga, det synes mig vara lika viktigt att vid en tidpunkt som denna tänka på all den sorg och alla de lidanden, som vederfaras </w:t>
      </w:r>
      <w:r>
        <w:rPr>
          <w:b/>
        </w:rPr>
        <w:t>hustru²</w:t>
      </w:r>
      <w:r>
        <w:rPr>
          <w:b w:val="0"/>
        </w:rPr>
        <w:t xml:space="preserve"> och barn på grund af just detta mannens nu och eljest ofta öfverklagade missbruk af hans målsmanskap öfver </w:t>
      </w:r>
      <w:r>
        <w:rPr>
          <w:b/>
        </w:rPr>
        <w:t>hustrun²</w:t>
      </w:r>
      <w:r>
        <w:rPr>
          <w:b w:val="0"/>
        </w:rPr>
        <w:t>.</w:t>
        <w:br/>
        <w:br/>
        <w:t>Jag kan därför, herr talman, icke annat än till den kraft och verkan det hafva kan på det allra lifligaste och af hela mitt hjärta och själ instämma i den reservation, som afgifvits vid detta utlåtande.</w:t>
      </w:r>
    </w:p>
    <w:p>
      <w:pPr>
        <w:pStyle w:val="Heading2"/>
      </w:pPr>
      <w:r>
        <w:t>6. Daniel Persson (Liberala samlingspartiet, man)</w:t>
      </w:r>
    </w:p>
    <w:p>
      <w:r>
        <w:rPr>
          <w:b w:val="0"/>
        </w:rPr>
        <w:t>Jag skall villigt erkänna, att lagstiftning på familjerättens område är ganska svår och vidlyftig, och jag måste sålunda också skänka ett visst erkännande åt de många bhetänkligheter, som särskildt af juristerna här i kammaren och i lagutskottet uttalats mot bifall till motionärens framställning. Men jag tror, att vi få väga två saker mot hvarandra här, det juridiskt formellt riktiga eller vackra och den praktiska verkan, som lagen kommer att få. Man kan säga om den nuvarande lagbestämmelsen på detta område, att den lärer väl vara juridiskt riktig och mycket tillfredsställande, eftersom det är så svårt att få en ändring däri till stånd. Den är också så juridiskt riktig, att många familjer blifvit ruinerade på grund af denna juridiskt riktiga bestämmelse. Och det förefaller mig, som om det skulle finnas föga hopp om att få frågan löst, om den skall skärskådas från den synpunkt, som herr Petersson i Lidingön framförde, och om vi skola vänta, tills den stora revisionen af äktenskapslagstiftningen kommer. Det var så många invändningar han hade att göra i detta afseende, så att jag får säga, att det i viss mån verkade beklämning och hopplöshet hos mig. Men lyckligtvis vädjade han till den praktiska erfarenheten, till hur det tillgick vid tingen på landet, då det var fråga om lagfartsoch inteckningsansökningar. Ja, från detta område ha vi landtmän, som icke äro jurister, men dock åtskilligt sysslat med en del praktiskt-juridiska</w:t>
        <w:br/>
        <w:br/>
        <w:t>värf, en ganska rik erfarenhet, och jag tror, att en god del af de Ang. ändring betänkligheter och skäl, som herr Petersson i Lidingön framförde " dä mot förslaget, skola förlora i betydelse, om vi göra en liten praktisk = (Forts) jämförelse. Omyndiga ha icke rätt att själfva försälja sin fasta</w:t>
        <w:br/>
        <w:br/>
        <w:t>egendom. Men icke har jag märkt någon gång, när personer skrifvit</w:t>
        <w:br/>
        <w:br/>
        <w:t>under köpebref eller inteckningsmedgifvanden, att domaren då infordrat</w:t>
        <w:br/>
        <w:br/>
        <w:t>bevis om att den personen var myndig och sagt: jag vet icke, om</w:t>
        <w:br/>
        <w:br/>
        <w:t>ni är myndig eller ej, och jag kan därför icke uppta ärendet till</w:t>
        <w:br/>
        <w:br/>
        <w:t>pröfning, förrän ni genom prästbevis eller eljest styrkt, att ni är</w:t>
        <w:br/>
        <w:br/>
        <w:t>myndig; det har jag aldrig funnit. Hvad landsbygden beträffar, så</w:t>
        <w:br/>
        <w:br/>
        <w:t>finnes det ju nämndemän ifrån olika delar af tingslaget, som känna</w:t>
        <w:br/>
        <w:br/>
        <w:t>till folket och mycket väl veta, om den, som skrifver under, är</w:t>
        <w:br/>
        <w:br/>
        <w:t>myndig eller ej, om han är gift eller icke gift etc. Jag tror sålunda,</w:t>
        <w:br/>
        <w:br/>
        <w:t>att man här framkastar alltför många skäl emot och bara drager</w:t>
        <w:br/>
        <w:br/>
        <w:t>upp svårigheter utan att söka inrikta sin uppmärksamhet på att finna</w:t>
        <w:br/>
        <w:br/>
        <w:t>utvägar att lösa frågan.</w:t>
        <w:br/>
        <w:br/>
        <w:t>Det är visserligen sant, att lagberedningen har denna fråga om hand, och det är att hoppas, att den i sinom tid skall på ett eller annat sätt bringas till en lycklig lösning. Men jag har föga hopp om att detta kan ske inom rimlig tid, därför att man nu lägger lika mycken vikt vid, att det blir enhetlighet och öfverensstämmelse i bestämmelserna inom de tre skandinaviska länderna på detta område, som att det blir en därefter lämpad formulering på lagförslagen.</w:t>
        <w:br/>
        <w:br/>
        <w:t>Jag vill gärna medgifva, att äfven de, som anse att här möta svårigheter ur formell synpunkt, dock äro eniga med motionären däri, att någonting bör göras på detta område, och jag kan konstatera, att då jag 1898 väckte motion af ungefär samma innehåll som den nu förevarande, så fick jag också det erkännandet från det särskilda utskott, som då behandlade den frågan jämte andra motionärers framställning, att mitt förslag hade mycket fog för sig. Men äfven då ansågos formella hinder ligga i vägen: man var icke riktigt säker på, att man fick den allra bästa formuleringen eller att det var lämpligt att vidtaga en sådan detaljändring i lagen, då det kräfdes rättelser äfven på andra håll. Nog är det bra, om det finnes enhetliga bestämmelser och om den ena lagbestämmelsen står i öfverensstämmelse med den andra, men ännu bättre vore det, om vi icke voro så förskräckligt rädda för de formella betänkligheterna, hvarigenom vi på sätt och vis bli medansvariga för att många familjer gå sin undergång till mötes, just för att man icke får ändring i detta afseende.</w:t>
        <w:br/>
        <w:br/>
        <w:t>Det är därför jag tror, att vi lekmän här i kammaren borde åtminstone som en opinionsyttring — mer lär det icke bli, ty första kammaren har naturligtvis varit så juridiskt bildad, att den afslagit motionen — antaga reservationen och därigenom visa, i hvilken riktning lagstiftningen bör gå och att vi icke tåla en alltför lång väntan på bättre förhållanden på detta område. Jag skall därför, herr talman, be att få yrka afslag på utskottets hemställan och bifall till reservationen.</w:t>
      </w:r>
    </w:p>
    <w:p>
      <w:pPr>
        <w:pStyle w:val="Heading2"/>
      </w:pPr>
      <w:r>
        <w:t>7. Carl Lindhagen (Socialdemokraterna, man)</w:t>
      </w:r>
    </w:p>
    <w:p>
      <w:r>
        <w:rPr>
          <w:b w:val="0"/>
        </w:rPr>
        <w:t xml:space="preserve">Jag begärde ordet med anledning af herr Peterssons i Lidingön svartmålning om de svårigheter, som ett bifall till förslaget skulle vålla på behandlingen af lagfartsoch inteckningsmål vid tingen på landet. Det går nog där icke till så, som han föreställde sig. Det är ju, som den föregående talaren redan framhållit, icke så, att det företages vidlyftiga undersökningar rörande hvarje persons myndighetstillstånd. I nu gällande lag finnes ock föreskrifvet en hel del formaliteter, då det gäller </w:t>
      </w:r>
      <w:r>
        <w:rPr>
          <w:b/>
        </w:rPr>
        <w:t>hustrus²</w:t>
      </w:r>
      <w:r>
        <w:rPr>
          <w:b w:val="0"/>
        </w:rPr>
        <w:t xml:space="preserve"> enskilda fasta egendom. Praktiskt taget skulle ju det vara liknande svårigheter där, som man nu tror det skall bli här. Men man har icke i dessa fall funnit, att det ledt till några komplikationer, utan den saken ordnar sig i de flesta fall mycket lätt, då ju nämnden känner till folket. Detta är sålunda icke tillräcklig anledning för afslag.</w:t>
        <w:br/>
        <w:br/>
        <w:t>Herr Petersson i Lidingön talade äfven om de svårigheter, som skulle uppstå med anledning af att det skulle komma att bli tre slags olika lagstiftningar i detta ämne under olika perioder. Ja, sådant få vi ju ofta finna oss i och dras med så godt vi kunna.</w:t>
        <w:br/>
        <w:br/>
        <w:t>Förhoppningen att den andra lagstiftningen snart kommer, böra vi icke skatta för mycket åt, ty det gäller ju där att omarbeta hela giftermålsbalken, och det tager sin tid. Den omständigheten, att det blir gemensam skandinavisk lagstiftning, kommer nog emellertid icke att fördröja arbetet, ty det har visat sig, att det då går snarare fortare än när hvarje land lagstiftar för sig. Men det är dock ett stort lagstiftningsområde. Och för öfrigt ha vi någonting som heter lagrådet, som skall granska alla förslag till lagar. Det uppgafs häromdagen af någon, att lagrådet var så öfverhopadt med arbete, att det redan hade sysselsättning till och med 1917. Och då kan man tänka sig, hur det skall gå med alla andra lagförslag, som komma efteråt. Man skulle ju visserligen kunna afskaffa lagrådet — hvilket alldeles säkert blir en nödvändighet förr eller senare — men äfven därtill åtgår ju två riksdagsperioder, då lagrådet har sin befogenhet fastställd i grundlagen. Vi få sålunda icke för mycket skatta åt en vinkande förhoppning om att snart nå en lösning på det hela.</w:t>
      </w:r>
    </w:p>
    <w:p>
      <w:pPr>
        <w:pStyle w:val="Heading2"/>
      </w:pPr>
      <w:r>
        <w:t>8. Herman Carlson (Liberala samlingspartiet, man)</w:t>
      </w:r>
    </w:p>
    <w:p>
      <w:r>
        <w:rPr>
          <w:b w:val="0"/>
        </w:rPr>
        <w:t>Jag begärde ordet med anledning af herr Peterssons i Lidingön invändning med hänsyn till svårigheterna för häradsrätterna. Hur det är ställdt med den saken, har redan herr Persson i Tällberg anfört. Nämnden består ju af personer från olika socknar, som känna till folket och deras ställning med hänsyn till de förhållanden, som af denna lagstiftning beröras. Det är också på grund af påtryckning från en häradshöfding, som jag väckt denna motion. Han ansåg en rättelse i af mig antydd riktning vara alldeles nödvändig, och han bad mig göra, hvad jag kunde. Jag tvekade, såsom jag förut anfört, då jag icke är fullt hemma på detta område, men jag är glad åt det understöd motionen fått och jag ber att fortfarande få yrka bifall till reservationen.</w:t>
      </w:r>
    </w:p>
    <w:p>
      <w:pPr>
        <w:pStyle w:val="Heading2"/>
      </w:pPr>
      <w:r>
        <w:t>9. Gustaf Albert Petersson (Lantmanna- och borgarepartiet inom andrakammaren, man)</w:t>
      </w:r>
    </w:p>
    <w:p>
      <w:r>
        <w:rPr>
          <w:b w:val="0"/>
        </w:rPr>
        <w:t xml:space="preserve">Mina herrar! Den föregående talarens yttrande har uppkallat mig till en liten replik. Den skall icke bli lång. Alla de olyckor och sorger och elände, som komma af mannens missbruk af sin målsmansrätt och som uppstå, då han, utan att </w:t>
      </w:r>
      <w:r>
        <w:rPr>
          <w:b/>
        </w:rPr>
        <w:t>hustrun²</w:t>
      </w:r>
      <w:r>
        <w:rPr>
          <w:b w:val="0"/>
        </w:rPr>
        <w:t xml:space="preserve"> får vara med och råda, säljer eller inteck&gt; nar deras gemensamma fasta egendom, ha lifligt utmålats under debatten, och man tror sig råda bot på detta genom den ändring, som herr Lindhagen föreslagit. Ja, mina herrar, kunde man råda bot på dessa olyckor genom en så enkel åtgärd, som nu påyrkats — ja, då skulle äfven jag vara med därom, trots alla de betänkligheter, som jag ur andra synpunkter har. Men herrarne få väl erkänna, att det icke är synnerligen mycket — något, det medgifver jag — som hjälpes därigenom, att det kommer in i lagen, att fast egendom, däri </w:t>
      </w:r>
      <w:r>
        <w:rPr>
          <w:b/>
        </w:rPr>
        <w:t>hustrun²</w:t>
      </w:r>
      <w:r>
        <w:rPr>
          <w:b w:val="0"/>
        </w:rPr>
        <w:t xml:space="preserve"> har giftorätt, icke får af mannen ensam försäljas eller intecknas. Ty har </w:t>
      </w:r>
      <w:r>
        <w:rPr>
          <w:b/>
        </w:rPr>
        <w:t>hustrun²</w:t>
      </w:r>
      <w:r>
        <w:rPr>
          <w:b w:val="0"/>
        </w:rPr>
        <w:t xml:space="preserve"> den olyckan att vara förenad med en man, som är slarfvig eller icke tillräckligt omtänksam, så har denne så oändligt många andra tillfällen och frestelser att genom skuldsättning eller okloka affärer förstöra det gemensamma boet och den gemensamma egendomen, att han sannerligen icke lärer bevaras därifrån, om han har ett visst band på sig i detta särskilda fall.</w:t>
        <w:br/>
        <w:br/>
        <w:t xml:space="preserve">Här har sagts, att mina anmärkningar med afseende på de svårigheter, som skulle uppstå vid häradsrätterna, icke äro befogade, och man har hänvisat till, hur det nu tillgår, då det är fråga om </w:t>
      </w:r>
      <w:r>
        <w:rPr>
          <w:b/>
        </w:rPr>
        <w:t>hustruns²</w:t>
      </w:r>
      <w:r>
        <w:rPr>
          <w:b w:val="0"/>
        </w:rPr>
        <w:t xml:space="preserve"> enskilda fastighet. Ja, mina herrar, men det är den stora skillnaden, att när det är fråga om en </w:t>
      </w:r>
      <w:r>
        <w:rPr>
          <w:b/>
        </w:rPr>
        <w:t>hustru²</w:t>
      </w:r>
      <w:r>
        <w:rPr>
          <w:b w:val="0"/>
        </w:rPr>
        <w:t xml:space="preserve"> enskildt tillhörig fastighet, så har denna också för </w:t>
      </w:r>
      <w:r>
        <w:rPr>
          <w:b/>
        </w:rPr>
        <w:t>hennes²</w:t>
      </w:r>
      <w:r>
        <w:rPr>
          <w:b w:val="0"/>
        </w:rPr>
        <w:t xml:space="preserve"> räkning lagfarits, och det är sålunda </w:t>
      </w:r>
      <w:r>
        <w:rPr>
          <w:b/>
        </w:rPr>
        <w:t>hennes²</w:t>
      </w:r>
      <w:r>
        <w:rPr>
          <w:b w:val="0"/>
        </w:rPr>
        <w:t xml:space="preserve"> namn, som är antecknadt i fastighetsboken och ingen annans. Det lärer icke blifva så som herrarne tyckas föreställa sig, att hela lagfartsoch inteckningsförfarandet skall kunna, om lagändringen genomföres, grundas på upplysningar af nämndemännen. Jag känner af egen erfarenhet mycket väl det stora värde man har af sådana upplysningar, och hur häradshöfdingen på landet skulle i många fall vara ganska illa ställd, om han icke hade detta värdefulla biträde att påräkna. Men jag vet också, att när lagen fordrar en viss kvalifikation hos den, som underskrifvit ett papper, det må vara köpebref eller annat, så behöfs också en anteckning i protokollet därom, att den kvalifikationen är för handen. Och grunden för denna anteckning skall också styrkas. Är mannen gift och han kommer med köpebref med ensamt sitt namn, så är det visserligen tillräckligt för att afvisa honom, att det meddelas, att han har en </w:t>
      </w:r>
      <w:r>
        <w:rPr>
          <w:b/>
        </w:rPr>
        <w:t>hustru²</w:t>
      </w:r>
      <w:r>
        <w:rPr>
          <w:b w:val="0"/>
        </w:rPr>
        <w:t>. Men har exempelvis en egendom lagfarits för honom och den är hans enskilda egendom, då hjälper det icke, att nämnden upplyser, att det är hans enskilda egendom, d. v. s. att han t. ex. gift sig efter det sedan han fått egendomen eller att han har äktenskapsförord eller dylikt, utan då fordras det handlingar, som visa, huru förhållandet är. Jag kan således icke komma ifrån, att de formella synpunkter, jag anfört, äro af icke ringa värde.</w:t>
      </w:r>
    </w:p>
    <w:p>
      <w:pPr>
        <w:pStyle w:val="Heading2"/>
      </w:pPr>
      <w:r>
        <w:t>10. Johan Widen (Utan partibeteckning, man)</w:t>
      </w:r>
    </w:p>
    <w:p>
      <w:r>
        <w:rPr>
          <w:b w:val="0"/>
        </w:rPr>
        <w:t xml:space="preserve">Herr talman, mina herrar! Det är egentligen icke något skäl i att förlänga denna diskussion, men jag kan icke annat än be att få fästa uppmärksamheten på, att när man här så mycket talar om att man bör taga reservationen såsom en demonstration för att utvisa i hvilken riktning den blifvande lagstiftningen skall gå, så kan jag icke finna, att detta är i någon mån nödvändigt. För mig är det fullt klart, att utskottet äfven för sin del just genom att hänföra sig till det uttalande, som gjorts af förr omnämnda delegerade från de skandinaviska länderna, så tydligt som möjligt pekat på den riktning i hvilken lagstiftningen skall gå, nämligen att </w:t>
      </w:r>
      <w:r>
        <w:rPr>
          <w:b/>
        </w:rPr>
        <w:t>hustrun²</w:t>
      </w:r>
      <w:r>
        <w:rPr>
          <w:b w:val="0"/>
        </w:rPr>
        <w:t xml:space="preserve"> frigöres från beroende af mannen i fråga om de ekonomiska förhållandena i äktenskapet. Detta är sålunda minst lika klart, antingen vi taga utskottets eller reservanternas förslag. För min del har jag länge varit öfvertygad om att lagstiftningen borde gå i den riktningen; och hade jag varit här i Riksdagen 1898, skulle jag sannerligen med nöje understödt herr Daniel Perssons motion, som var analog med den nu föreliggande. Men denna förelåg då i ett helt annat sammanhang; då förelåg nämligen frågan om lagstiftningen angående äkta makars egendomsförhållanden 7? sin helhet, så att man var i tillfälle att pröfva hela frågan. Så är ej fallet nu, då det gäller allenast en lösryckt del af densamma. Jag har för öfrigt äfven varit med och motionerat om borttagande helt och hållet af mannens målsmanskap, i det jag nämligen biträdde den i utskottsbetänkandet omnämnda motion, som herr Lindhagen framlade här om året och som då delvis bifölls af Riksdagen.</w:t>
        <w:br/>
        <w:br/>
        <w:t>Jag har med detta yttrande velat fritaga utskottet från den missuppfattning, hvartill de föregående uttalandena af reservanterna och deras hjälpare kunde gifva anledning, att icke utskottet skulle vilja hafva en på nya principer grundad lagstiftning i detta stycke. Att det så vill, har det klart uttalat; och man har fått äfven Första kammarens män att gå med på ett sådant uttalande. Jag kan icke alls godkänna, att man här skulle få vara i den öfvertygelsen, att utskottet önskar stå kvar på den grund, där vi nu äro. Nej, det är icke meningen. Jag kan inte inse, att man med det föreslagna stadgandet, sådant det här föreligger, vinner någonting mer än man vinner genom utskottets förslag; och med detta slipper man införa i lagstiftningen ett stadgande, hvars lämplighet därför är minst sagdt tvifvelaktig. Men lifligt behjärtar jag det behof af ny lagstiftning, som här föreligger. Då emellertid detta blir framhållet fullt lika väl, därest vi taga utskottets som reservanternas förslag, och då dessutom mot riktigheten af utskottets betänkande icke kan göras någon som helst erinring, så har jag slutit mig till detsamma.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1203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