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1204</w:t>
      </w:r>
    </w:p>
    <w:p>
      <w:r>
        <w:rPr>
          <w:b/>
        </w:rPr>
        <w:t xml:space="preserve">Datum: </w:t>
      </w:r>
      <w:r>
        <w:t>1912-02-28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Rikard Hagberg (Liberala samlingspartiet, man)</w:t>
      </w:r>
    </w:p>
    <w:p>
      <w:r>
        <w:rPr>
          <w:b w:val="0"/>
        </w:rPr>
        <w:t>Herr talman, mina herrar! För den välvilliga behandling utskottet ägnat min motion får jag tacka. Utskottet säger sig i hufvudsak omfatta den mening jag i min motion förfäktat, nämligen att det sätt att för allmänheten bekantgöra Kungl. Maj:ts, länsstyrelsernas och andra offentliga myndigheters kungörelser, som består i, att desamma uppläsas från predikstolen i våra</w:t>
        <w:br/>
        <w:br/>
        <w:t>kyrkor, icke är tillfredsställande. Emellertid afstyrker utskottet motionen af den anledning, att frågan ligger under utredning inom vederbörande departement och att förslag till dess lösning inom en snar framtid är att förvänta; detta på grund af en riksdagsskritvelse af år 1905 och en skrifvelse från kyrkomötet af år 1909. Om nu utskottet vill detsamma som jag, förefaller det dock, som om det varit riktigare att tillstyrka motionen. Riksdagsskrifvelsen af år 1905 går endast ut på ytterligare inskränkning i det föreskrifna kungörelseuppläsandet från predikstolen. Kyrkomötets skrifvelse går något längre; den påyrkar fullständigt upphäfvande eller väsentligt inskränkande af gällande föreskrifter om världsliga kungörelsers uppläsande i kyrkorna. Jag har i min motion hemställt om något mera, nämligen om åtgärders vidtagande för att kungörelser måtte på annat sätt än genom uppläsning från predikstolarna komma till allmänhetens kännedom. Nu kan man visserligen antaga, att Kungl. Maj:t i anledning af kyrkomötets skrifvelse är betänkt på åtgärder i sådant syfte, men därom vet man dock ingenting med visshet. TI utskottets utlåtande talas om, att förslag till frågans lösning i en snar framtid är att förvänta, men månne det dock icke går så till, att en eventuell förändring i sättet för kungörelsernas offentliggörande af Kungl. Maj:t verkställes på administrativ väg utan Riksdagens hörande? Har jag rätt i denna förmodan, kommer aldrig något förslag att framläggas, som Riksdagen blir i tillfälle att pröfva. Skulle Riksdagen hysa ett liknande önskemål beträffande den nu föreliggande frågan, som det jag framhållit, synes det, som om det icke varit ur vägen att nu göra ett bestämdare uttalande än det, som gjordes år 1905. Därtill kunde Riksdagen ha så mycket större anledning, som utredningen ännu, snart sju år efter Riksdagens och tre år efter kyrkomötets skrifvelse, icke ledt till något egentligt resultat.</w:t>
        <w:br/>
        <w:br/>
        <w:t>För min del har jag aldrig förnummit, att någon människa haft någon nytta eller glädje af, att prästen, sedan han förrättat gudstjänsten, skall pinas med att i kyrkan stå och rabbla upp långa kungörelser om alla möjliga värdsliga angelägenheter, medan publiken undan för undan afdunstar. En dylik uppläsning är ju alldeles ändamålslös, och därför underlåta också ofta våra präster att läsa upp kungörelserna. Men detta står återigen i strid med lagens bud, och så länge som en lag är gällande, skall den äfven följas, förklarade en gång den förra regeringens justitieminister här i kammaren. Jag undrar dock för min del icke på, att de flesta präster, när de t. ex. ha att läsa upp de långa sammandragen af landstingets protokoll, ett arbete, som tager flera timmar i anspråk, föredraga att följa en annan maxim, uttalad af en annan medlem af samma regering, som jag nyss nämnde, och gående ut på, att man i första rummet bör se till, hvad som är nyttigt, och i andra rummet, hvad som är lagligt.</w:t>
        <w:br/>
        <w:br/>
        <w:t>Emellertid är det nuvarande systemet oefterrättligt, isynnerhet ifrån allmän medborgerlig synpunkt. Myndigheternas tillkännagifvanden böra ju komma till allmänhetens kännedom, men på ett annat och” bättre sätt, än som nu sker.</w:t>
        <w:br/>
        <w:br/>
        <w:t>Eftersom Riksdagens skrifvelse i ämnet ännu, efter sju år, icke ledt till önskadt resultat och denna skrifvelse för öfrigt enligt min</w:t>
        <w:br/>
        <w:br/>
        <w:t>tanke alltför litet tagit sikte på den medborgerliga synpunkt, ur hvilken denna fråga bör ses, skulle jag helst vilja yrka bifall till min motion. Då det emellertid icke är omöjligt, att Kungl. Maj:t i anledning af Riksdagens och kyrkomötets skrifvelser i ämnet kan komma att utfärda en förordning i den riktning, som jag tillåtit mig framhålla, skall jag inskränka mig till att påpeka önskvärdheten af, att frågans behandling måtte hädanefter ske i ett något raskare tempo än hittills, så att förbättrade förhållanden uti nu ifrågavarande afseende måtte så snart som möjligt inträda.</w:t>
        <w:br/>
        <w:br/>
        <w:t>Herr talman! Jag har intet yrkande att göra.</w:t>
        <w:br/>
        <w:br/>
        <w:t>Vi GUSTAF med Guds nåde, Sveriges, Götes och Vendes Konung, tillbjuda Eder Gode Herrar och Svenske män, ledamöter af Riksdagens Andra Kammare, Vår ynnest och nådiga benägenhet med Gud Allsmäktig!</w:t>
        <w:br/>
        <w:br/>
        <w:t xml:space="preserve">Med djup tacksamhet för Försynens nåd gifva Vi Eder härigenom tillkänna, att </w:t>
      </w:r>
      <w:r>
        <w:rPr>
          <w:b/>
        </w:rPr>
        <w:t>Hennes²</w:t>
      </w:r>
      <w:r>
        <w:rPr>
          <w:b w:val="0"/>
        </w:rPr>
        <w:t xml:space="preserve"> Kungl. Höghet </w:t>
      </w:r>
      <w:r>
        <w:rPr>
          <w:b/>
        </w:rPr>
        <w:t>Kronprinsessan³</w:t>
      </w:r>
      <w:r>
        <w:rPr>
          <w:b w:val="0"/>
        </w:rPr>
        <w:t xml:space="preserve"> denna dag klockan 5,30 f. m. lyckligen blifvit förlöst med en prins, som kommer att i det heliga dopet undfå namnet Bertil Gustaf Oscar Carl Eugene och bära titel Hertig af Halland.</w:t>
        <w:br/>
        <w:br/>
        <w:t>Förvissade, att I med Oss och Vårt Kungl. Hus delen glädjen öfver denna lyckliga tilldragelse, förblifva Vi Eder med all Kungl. nåd och ynnest städse välbevågna.</w:t>
      </w:r>
    </w:p>
    <w:p>
      <w:pPr>
        <w:pStyle w:val="Heading2"/>
      </w:pPr>
      <w:r>
        <w:t>2. unknown (–, –)</w:t>
      </w:r>
    </w:p>
    <w:p>
      <w:r>
        <w:rPr>
          <w:b w:val="0"/>
        </w:rPr>
        <w:t xml:space="preserve">Herr talman! Jag tillåter mig hemställa, att kammaren med anledning af det nu upplästa kungl. brefvet måtte besluta att anmoda kammarens talman att till deras Maj:ter Konungen och Drottningen, </w:t>
      </w:r>
      <w:r>
        <w:rPr>
          <w:b/>
        </w:rPr>
        <w:t>Hennes²</w:t>
      </w:r>
      <w:r>
        <w:rPr>
          <w:b w:val="0"/>
        </w:rPr>
        <w:t xml:space="preserve"> Maj:t </w:t>
      </w:r>
      <w:r>
        <w:rPr>
          <w:b/>
        </w:rPr>
        <w:t>Änkedrottningen²</w:t>
      </w:r>
      <w:r>
        <w:rPr>
          <w:b w:val="0"/>
        </w:rPr>
        <w:t xml:space="preserve"> samt till de höga föräldrarne framföra kammarens vördnadsfulla lyckönskningar i anledning af denna för det kungl. huset så glädjande tilldragelse.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