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1227</w:t>
      </w:r>
    </w:p>
    <w:p>
      <w:r>
        <w:rPr>
          <w:b/>
        </w:rPr>
        <w:t xml:space="preserve">Datum: </w:t>
      </w:r>
      <w:r>
        <w:t>1912-05-18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Nilsson (Socialdemokraterna, man)</w:t>
      </w:r>
    </w:p>
    <w:p>
      <w:r>
        <w:rPr>
          <w:b w:val="0"/>
        </w:rPr>
        <w:t>Herr talman, mina herrar! Jag skall för min del be att få framföra några synpunkter i denna fråga, därför att jag finner, att kammaren tager denna sak alldeles för lättvindigt. Vi hafva nu under så många, många år kämpat för att få igenom en rösträttsreform, som skulle göra det möjligt för den svenska arbetarklassen, och speciellt för landsbygdens arbetare, att i riksförsamlingen få göra sina intressen gällande. Vi hafva i fjol gått igenom en valkampanj, som varit synnerligen liflig, och arbetsklassens och småfolkets representanter hafva kommit till kammaren i allt större och större antal. Men hur långt äro vi i själfva verket komna?</w:t>
        <w:br/>
        <w:br/>
        <w:t xml:space="preserve">Den viktigaste rösträttsfråga, som det enligt mitt förmenande i dag gäller att här behandla, är frågan om begränsning af den kommunala fyrkskalan. Under den föregående rösträttsdebatten här i dag, när det gällde att utvidga rösträtten till att omfatta äfven </w:t>
      </w:r>
      <w:r>
        <w:rPr>
          <w:b/>
        </w:rPr>
        <w:t>kvinnorna¹</w:t>
      </w:r>
      <w:r>
        <w:rPr>
          <w:b w:val="0"/>
        </w:rPr>
        <w:t xml:space="preserve">, har man allmänt framhållit behofvet och vikten af att </w:t>
      </w:r>
      <w:r>
        <w:rPr>
          <w:b/>
        </w:rPr>
        <w:t>kvinnorna¹</w:t>
      </w:r>
      <w:r>
        <w:rPr>
          <w:b w:val="0"/>
        </w:rPr>
        <w:t xml:space="preserve"> skulle erhålla denna rätt. Men på hvilken väg skall det gå? Denna kammare har enhälligt eller åtminstone med stor majoritet uttalat sig för </w:t>
      </w:r>
      <w:r>
        <w:rPr>
          <w:b/>
        </w:rPr>
        <w:t>kvinnornas¹</w:t>
      </w:r>
      <w:r>
        <w:rPr>
          <w:b w:val="0"/>
        </w:rPr>
        <w:t xml:space="preserve"> rösträtt; Första kammaren har med nära nog lika förkrossande majoritet afslagit densamma. Nåväl, blicka vi då ut på de i år förrättade landstingsmannavalen, så visar det sig med all önskvärd tydlighet, att den tid är långt borta i fjärran, då man kan tänka på att det med den nuvarande 40-gradiga skalan blir möjligt att förändra majoriteten i Riksdagens Första kammare. Hvad blir då följden och resultatet af detta? Jo, de som vilja en verklig lösning af </w:t>
      </w:r>
      <w:r>
        <w:rPr>
          <w:b/>
        </w:rPr>
        <w:t>kvinnornas¹</w:t>
      </w:r>
      <w:r>
        <w:rPr>
          <w:b w:val="0"/>
        </w:rPr>
        <w:t xml:space="preserve"> rösträttsfråga, de som icke vilja bara deklamera om den, de böra också medverka till att ändra de grundvalar, hvarpå Första kammaren sammansättes, för att det skall bli</w:t>
        <w:br/>
        <w:br/>
        <w:t>möjligt att få den majoritet, utan hvilken denna fråga icke grund- Ang. ändrade</w:t>
        <w:br/>
        <w:br/>
        <w:t>lagsenligt kan lösas. bestämmelser Jag vill i det fallet be att särskildt få framhålla några speciella syn- ! fråga omsien</w:t>
        <w:br/>
        <w:br/>
        <w:t>punkter och siffror, som förekommit vid de senast förrättade landsrösträtten.</w:t>
        <w:br/>
        <w:br/>
        <w:t>räckligt kommunalt inflytande, bra mycket mer än förr, men jag</w:t>
        <w:br/>
        <w:br/>
        <w:t>skall med ett litet exempel visa, hur detta kommunala inflytande</w:t>
        <w:br/>
        <w:br/>
        <w:t>är beskaffadt. I ett härad förrättades innevarande år ett landstings-</w:t>
        <w:br/>
        <w:br/>
        <w:t>mannaval, där det på 189 högervalmän kom 1,666 röster. I samma</w:t>
        <w:br/>
        <w:br/>
        <w:t>valkrets hade 203 arbetare gått fram till valet på arbetarpartiets lista,</w:t>
        <w:br/>
        <w:br/>
        <w:t>utan att det därvid lyckades dem att uppdrifva mera än 371 röster.</w:t>
        <w:br/>
        <w:br/>
        <w:t>Om vi nu besinna exempelvis, att i detta fall högern i en ren lands-</w:t>
        <w:br/>
        <w:br/>
        <w:t>bygdsvalkrets, där det icke finnes någon industri, mönstrade 189</w:t>
        <w:br/>
        <w:br/>
        <w:t>röstande med ett medelvärde af nio röster pr man, under det att</w:t>
        <w:br/>
        <w:br/>
        <w:t>arbetarne, torpare, statare, dagsverksarbetare, hvilka gått hela mil</w:t>
        <w:br/>
        <w:br/>
        <w:t>kanske för att komma till vallokalen och där nedlägga sin röst i</w:t>
        <w:br/>
        <w:br/>
        <w:t>valurnan, icke nådde högre än till 1!/; röst per man. Hvad tro ni</w:t>
        <w:br/>
        <w:br/>
        <w:t>väl blir följden af sådant? Jo, följden blir, att folket så småningom</w:t>
        <w:br/>
        <w:br/>
        <w:t>mister allt intresse för deltagande i dessa val, man hyser ute i</w:t>
        <w:br/>
        <w:br/>
        <w:t>landet intet hopp att på den politiska vägen nå fram till några</w:t>
        <w:br/>
        <w:br/>
        <w:t>resultat, så länge man vet, att den 40-gradiga skalan gör, att Första</w:t>
        <w:br/>
        <w:br/>
        <w:t>kammaren oafbrutet blir högerns ointagliga borg. Jag har gjort ett sammandrag för det län, jag representerar,</w:t>
        <w:br/>
        <w:br/>
        <w:t>öfver de afslutade valen, och jag skall med några siffror visa, hur</w:t>
        <w:br/>
        <w:br/>
        <w:t>illa det är ställdt för arbetarklassen, som på grund af den 40-gra-</w:t>
        <w:br/>
        <w:br/>
        <w:t>diga skalan saknar allt inflytande. För Kristianstads läns landsbygd</w:t>
        <w:br/>
        <w:br/>
        <w:t>valdes 23 landstingsmän. Af dessa har arbetarpartiet erhållit —</w:t>
        <w:br/>
        <w:br/>
        <w:t>summa en, högern 11 och de frisinnade 11. Men om vi se efter</w:t>
        <w:br/>
        <w:br/>
        <w:t>hur många röstande partierna haft, så visar det sig, att högern haft</w:t>
        <w:br/>
        <w:br/>
        <w:t>sammanlagdt 2,735 röstande, arbetarpartiet 1,789 röstande och de</w:t>
        <w:br/>
        <w:br/>
        <w:t>frisinnade 4,305 röstande. Högern har haft ett medelröstvärde af</w:t>
        <w:br/>
        <w:br/>
        <w:t>partiet eller småfolket har haft minst medelröstvärde, något som</w:t>
        <w:br/>
        <w:br/>
        <w:t>jag vill fastslå, i det att detta parti icke haft mer än 4,2 röster på</w:t>
        <w:br/>
        <w:br/>
        <w:t>hvarje valsedel. Detta beror till stor del på valkretsindelningen, att</w:t>
        <w:br/>
        <w:br/>
        <w:t>arbetarklassen fått endast en representant, men det beror också på</w:t>
        <w:br/>
        <w:br/>
        <w:t>de små röstetal dessa människor förmå uppbringa på grund af sina</w:t>
        <w:br/>
        <w:br/>
        <w:t>små inkomster och i öfrigt tryckta ekonomiska ställning. Det visar</w:t>
        <w:br/>
        <w:br/>
        <w:t>sig, att hvarje högerrepresentant i denna halfva af länet har bakom</w:t>
        <w:br/>
        <w:br/>
        <w:t>sig 249 valmän, hvarje frisinnad 391 valmän, under det att arbe-</w:t>
        <w:br/>
        <w:br/>
        <w:t>tarnes valde representant har bakom sig en valmanskår på 1,789</w:t>
        <w:br/>
        <w:br/>
        <w:t>valmän. Är det någon människa, som med dessa siffror för ögonen</w:t>
        <w:br/>
        <w:br/>
        <w:t>vill påstå, att det är bra, som det är, och att vi för närvarande icke</w:t>
        <w:br/>
        <w:br/>
        <w:t>äro skyldiga de obemedlade folkklasserna i vårt land att vidtaga</w:t>
        <w:br/>
        <w:br/>
        <w:t>någon förändring af den kommunala fyrkskalan. Jag vågar för min</w:t>
        <w:br/>
        <w:br/>
        <w:t>del påstå, att det skulle vara ovärdigt, om denna första Riksdag</w:t>
        <w:br/>
        <w:br/>
        <w:t>bestämmelser i fråga om den kommunala</w:t>
        <w:br/>
        <w:br/>
        <w:t>och afslå den hlott och bart därför, att vi icke hafva utsikt att för närvarande få Första kammaren med på borttagande af den kommunala fyrkskalan.</w:t>
        <w:br/>
        <w:br/>
        <w:t>Jag har med dessa siffror, i den mån det varit möjligt, velat bidraga till belysning af hur den 40-gradiga skalan verkar och speciellt hur den jämt och ständigt kommer att vara ett hinder för ett verkligt demokratiskt genombrott i vårt land. Jag vill därtill lägga, att ju längre vi vänta med att vidtaga någon som helst rörelse i syfte att få denna fråga fram i första planet eller få den riktigt aktuell, dess mera växer missnöjet, och till sist kommer den kamp, som småfolket måste föra, att bli allt häftigare och häftigare.</w:t>
        <w:br/>
        <w:br/>
        <w:t>Jag skall därför, utan att uppehålla tiden längre, be att för min del få, med betonande af hvad jag sagt, yrka bifall till den reservation, som vårt partis representanter i konstitutionsutskottet aflåtit, och jag vill särskildt rikta den maningen till det frisinnade partiets representanter här: Ansen icke denna fråga för mindre betydelsefull, varen icke nöjda med att nu skrinlägga densamma och låta allt vara som det är, utan kommen ihåg, att skall någonting vinnas, så måste det först växa fram en opposition, som faktiskt påvisar det orättfärdiga, som ännu kvarstår; och denna opposition skall växa fram genom mangrann anslutning till krafvet om begränsning af den kommunala fyrkskalan eller införande af allmän, lika kommunal rösträtt. Med dessa ord ber jag, herr vice talman, att få yrka bifall till reservationen.</w:t>
      </w:r>
    </w:p>
    <w:p>
      <w:pPr>
        <w:pStyle w:val="Heading2"/>
      </w:pPr>
      <w:r>
        <w:t>2. Nils Eden (Liberala riksdagspartiet, man)</w:t>
      </w:r>
    </w:p>
    <w:p>
      <w:r>
        <w:rPr>
          <w:b w:val="0"/>
        </w:rPr>
        <w:t>Herr talman, mina herrar! Den senaste ärade talaren kan vara öfvertygad om att det frisinnade partiet ingalunda anser denna fråga betydelselös eller af ringa betydelse. Tvärtom, redan genom den korta erfarenhet vi haft af verkningarna af den 40-gradiga skalan, hvilken infördes genom 1909 års beslut, torde vi hafva kommit under fund med, att dessa verkningar ingalunda äro sådana, att de kunna motsvara de kraf, som ställas på en verkligt modern kommunal ordning. Men å andra sidan är det ej heller möjligt för det frisinnade partiet att gå in på den väg, som den nu föreliggande socialdemokratiska motionen anvisar.</w:t>
        <w:br/>
        <w:br/>
        <w:t xml:space="preserve">Denna motion går ut på att utan vidare införa allmän, lika kommunal rösträtt för män och </w:t>
      </w:r>
      <w:r>
        <w:rPr>
          <w:b/>
        </w:rPr>
        <w:t>kvinnor¹</w:t>
      </w:r>
      <w:r>
        <w:rPr>
          <w:b w:val="0"/>
        </w:rPr>
        <w:t>. Det har synts det frisinnade partiets representanter i utskottet, att man genom en sådan hållning på sätt och vis ifrån de socialdemokratiska motionärernas sida har begått ett fel af samma art, som efter mitt förmenande begicks 1907, när den nu gällande rösträttsskalan framlades. År 1907, när man framlade denna skala, reglerades den egentligen efter politiska synpunkter — man bjöd en reform, men så afpassad, att dock den politiska makten vid landstingsmannavalen skulle ligga i hufvudsak orubbad. Däremot togs alldeles icke tillbörlig hänsyn till hvad som för kommunernas hbehof och det kommunala lifvet</w:t>
        <w:br/>
        <w:br/>
        <w:t>kunde vara lämpligt och möjligt att genomföra. På samma sätt förefaller det mig nu också, att det socialdemokratiska partiets motion i alltför hög grad uteslutande fäster sig vid den verkan, som man skulle kunna vinna i politiskt hänseende genom en genomförd allmän och lika kommunal rösträtt. Det är ju onekligen så, att genom sammankoppling af den kommunala rösträtten med grunden för Första kammarens bildande, frågan om en rimlig reform af denna kommunala rösträtt i Sverige är väsentligen försvårad. Men detta hindrar icke, att denna fråga om den kommunala rösträtten, när den skall upptagas, måste upptagas ur synpunkter, som lägga en hufvudvikt på kommunernas behof och kommunernas intressen. Det är af detta skäl, som i konstitutionsutskottets betänkande blifvit hänvisadt till två omständigheter, som måste tagas i betraktande, om en mera genomgripande kommunal rösträttsreform skall kunna framföras med utsikt till framgång.</w:t>
        <w:br/>
        <w:br/>
        <w:t>Den ena af dessa omständigheter är den, att vi ju ha att vänta under den närmaste tiden ett förslag till kommunal skattereform, som i och för sig, såvidt jag kan förstå, måste leda därhän, att frågan om rösträttsskalan tages upp till pröfning. Det är ju visserligen så, att denna rösträtt nu är formellt löst från själfva den kommunala beskattningen, men den hvilar dock på taxeringen till bevillning, som är grunden för den kommunala beskattningen, och i och med detsamma en ändring i detta afseende sker, måste således också rösträttsfrågan komma under revidering. Det är tydligt, att denna revidering i sammanhang med skattereformen sålunda i och för sig är ganska nära förestående.</w:t>
        <w:br/>
        <w:br/>
        <w:t>Den andra omständigheten, som vi hafva pekat på, är den, att en mera genomgripande reform af den kommunala rösträtten oafvisligen kräfver, att man också upptager till pröfning frågan om revision af själfva kommunalförordningarna, såsom vi uttryckte det, en revision, gående därpå ut, att man skulle närmare reglera »de kommunala myndigheternas kompetens och ställning i förhållande till statsmyndigheten, i syfte af verksam kontroll öfver beskattning och utgifter och mera dylikt&gt;. Därmed har icke, som den förste talaren i denna debatt förmenat, något misstroende uttalats i och för sig till de lägre skattebetalarne och de nuvarande mindre röstägarne med hänsyn till det sätt, hvarpå de möjligen skulle använda en förvärfvad större makt i kommunerna. Utan därmed är endast framtagen en synpunkt, som i alla andra länder verkligen har blifvit genomförd, nämligen synpunkten af avt rösträttens reglering måste stå i ett visst sammanhang med själfva formerna för den kommunala förvaltningen och dess ställning till statsmyndigheterna.</w:t>
        <w:br/>
        <w:br/>
        <w:t>För min del är jag lifligt öfvertygad om att ingen reform af mera genomgripande art på den kommunala rösträttens område låter sig genomföras, utan att man betraktar rösträtten i sammanhang med den kommunala organisationen och kommunens ställning till statsmyndigheterna, och jag tror, att skall en gång arbetet på en</w:t>
        <w:br/>
        <w:br/>
        <w:t>bestämmelser i fråga om den</w:t>
        <w:br/>
        <w:br/>
        <w:t>Det är af dessa skäl, och utan att jag på något vis underkänner de erfarenheter, som redan blifvit vunna öfver otillräckligheten af 1907 års reform, som jag nödgas stanna vid ett afslag på motionen, och jag anhåller sålunda,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1227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