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w:t>
      </w:r>
    </w:p>
    <w:p>
      <w:r>
        <w:rPr>
          <w:b/>
        </w:rPr>
        <w:t xml:space="preserve">Datum: </w:t>
      </w:r>
      <w:r>
        <w:t>1913-03-29</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Gustaf Kobb (Liberala riksdagspartiet, man)</w:t>
      </w:r>
    </w:p>
    <w:p>
      <w:r>
        <w:rPr>
          <w:b w:val="0"/>
        </w:rPr>
        <w:t>Herr Swartz karakteriserade det sätt, på vilket bevillningsutskottets reservanter gått till väga, som ett lättsinnigt sätt att rubba statens inkomster. Jag tror, att jag icke behöver gå längre tillbaka än till i går för att finna ett annat exempel. Det finnes icke på det håll, där jag och mina meningsfränder stå. Man finner det nämligen i den gemensamma omröstningen rörande det anslag, varom greve C. Hamilton väckt motion; en fullständig omkastning av röstsiffrorna hade skett, så att huvudmassan av denna kammares majoritetsparti gått med på den stora utgiften, som skulle ökat bud-</w:t>
        <w:br/>
        <w:br/>
        <w:t>»Förevarande framställning avser höjning av riksbankens årsbidrag till kassan med dels 8,000 kronor, därav 5,360 kronor för att täcka den nuvarande bristen och återstoden för att sätta kassan i stånd att möta ytterligare krav genom tillkomsten av nya delägare, dels ock ytterligare 4,000 kronor, därest delaktighet i kassan, på sätt föreslagits, skall medgivas verkställande styrelseledamöter i denna deras egenskap.</w:t>
        <w:br/>
        <w:br/>
        <w:t xml:space="preserve">I likhet med fullmäktige anser utskottet det vara med billighet förenligt, att verkställande styrelseledamot, som tillika är tjänsteman i riksbanken, beredes delägarrätt i kassan på grund av den lön, som tillkommer honom i sådan egenskap, och då utskottet även i övrigt finner ifrågavarande framställning välgrundad, får utskottet hemställa, att Riksdagen må höja riksbankens årsbidrag till </w:t>
      </w:r>
      <w:r>
        <w:rPr>
          <w:b/>
        </w:rPr>
        <w:t>änkeoch²</w:t>
      </w:r>
      <w:r>
        <w:rPr>
          <w:b w:val="0"/>
        </w:rPr>
        <w:t xml:space="preserve"> pupill-</w:t>
        <w:br/>
        <w:br/>
      </w:r>
      <w:r>
        <w:rPr>
          <w:b/>
        </w:rPr>
        <w:t>änkeoch²</w:t>
      </w:r>
      <w:r>
        <w:rPr>
          <w:b w:val="0"/>
        </w:rPr>
        <w:t xml:space="preserve"> pu kronor, med 12,000 kronor till 18,000 kronor.» pillkassan vid</w:t>
      </w:r>
    </w:p>
    <w:p>
      <w:pPr>
        <w:pStyle w:val="Heading2"/>
      </w:pPr>
      <w:r>
        <w:t>2. Carl Gustaf Wickman (Socialdemokraterna, man)</w:t>
      </w:r>
    </w:p>
    <w:p>
      <w:r>
        <w:rPr>
          <w:b w:val="0"/>
        </w:rPr>
        <w:t>Som kammarens ledamöter finna av betänkan-</w:t>
        <w:br/>
        <w:br/>
        <w:t xml:space="preserve">och pappers: det, så existera inom riksbanken tvenne </w:t>
      </w:r>
      <w:r>
        <w:rPr>
          <w:b/>
        </w:rPr>
        <w:t>änkeoch²</w:t>
      </w:r>
      <w:r>
        <w:rPr>
          <w:b w:val="0"/>
        </w:rPr>
        <w:t xml:space="preserve"> pupillkassor, den (Fo un äldre, bankostatens </w:t>
      </w:r>
      <w:r>
        <w:rPr>
          <w:b/>
        </w:rPr>
        <w:t>änkeoch²</w:t>
      </w:r>
      <w:r>
        <w:rPr>
          <w:b w:val="0"/>
        </w:rPr>
        <w:t xml:space="preserve"> pupillkassa, bildad år 1748, och ban- : &gt; kodiskontverkets, bildad år 1823. Denna senare blev, sedan bankodiskontverket sammanslagits med bankoverket, en </w:t>
      </w:r>
      <w:r>
        <w:rPr>
          <w:b/>
        </w:rPr>
        <w:t>änkekassa²</w:t>
      </w:r>
      <w:r>
        <w:rPr>
          <w:b w:val="0"/>
        </w:rPr>
        <w:t xml:space="preserve"> för riksbankens avdelningskontor och Tumba bruks personal. Den äldre kassan har haft förmånen att erhålla besparade medel av kantonaloch avancementspengar alltsedan 1689 och därefter uppburit anslagna 800 daler silvermynt om året, motsvarande i vårt nuvarande mynt 200 kronor. Denna summa var för hundra år tillbaka naturligtvis ett avsevärt tillskott till kassan. Numera är icke detta tillskott av någon stor betydelse för kassan. Men under de senaste årtiondena hava genom Riksdagens beslut upprättats många avdelningskontor. I allmänhet hava tjänstemännen på avdelningskontoren utgått från huvudkontoret. Dessa tjänstemän, som varit ordinarie och sålunda delägare i den gamla ekonomiskt starkare kassan, hava till denna lämnat sina tributer, men hava icke fått några fördelar i form av </w:t>
      </w:r>
      <w:r>
        <w:rPr>
          <w:b/>
        </w:rPr>
        <w:t>änkepensioner²</w:t>
      </w:r>
      <w:r>
        <w:rPr>
          <w:b w:val="0"/>
        </w:rPr>
        <w:t xml:space="preserve"> därifrån, sedan de övergått till avdelningskontoren och därmed blivit delägare i avdelningskontorens kassa. Den gamla kassan har på detta sätt från början owhuldats av bankens medel, den senare har icke erhållit några sådana medel, utan fått existera på premier och det anslag, som Riksdagen lämnat. Det är då förklarligt, att denna kassa icke nått upp till den kapitalbehållning, som</w:t>
        <w:br/>
        <w:br/>
        <w:t>den äldre kassan har.</w:t>
        <w:br/>
        <w:br/>
        <w:t xml:space="preserve">År 1898 gjorde Riksdagen framställning om en sammanslagning av dessa två kassor. Denna sammanslagning tillstyrktes av bankofullmäktige och av styrelserna för de båda kassorna, men avslogs av delägarne. De ville icke vara med om sammanslagningen, då den äldre kassan hade kapitaltillgångar, som mer än motsvarade kassans behov, och avdelningskontorens kassa visade underbalans eller nätt och jämt kunde existera. I mitten av 1860-talet visade den gamla </w:t>
      </w:r>
      <w:r>
        <w:rPr>
          <w:b/>
        </w:rPr>
        <w:t>änkekassan²</w:t>
      </w:r>
      <w:r>
        <w:rPr>
          <w:b w:val="0"/>
        </w:rPr>
        <w:t xml:space="preserve"> så stort kapitalöverskott, att kassans delägare år 1870 beslöto att höja </w:t>
      </w:r>
      <w:r>
        <w:rPr>
          <w:b/>
        </w:rPr>
        <w:t>änkepensionerna²</w:t>
      </w:r>
      <w:r>
        <w:rPr>
          <w:b w:val="0"/>
        </w:rPr>
        <w:t xml:space="preserve"> för de högsta löntagarklasserna. Det var icke mindre än 300 kronors tillökning å de högsta </w:t>
      </w:r>
      <w:r>
        <w:rPr>
          <w:b/>
        </w:rPr>
        <w:t>änkepensionerna²</w:t>
      </w:r>
      <w:r>
        <w:rPr>
          <w:b w:val="0"/>
        </w:rPr>
        <w:t>. Så gick det ända till 1893, då kassan beslöt, att alla pensioner skulle beräknas efter lika procent av den fasta löneinkomsten. Den förändringen gjordes, därför att den äldre kassan under de senaste åren hade kapitalöverskott. År 1911 — det sista, för vilket revisionsberättelse är uppgjord — hade kassan ett överskott av 17,385 kronor 84 öre. Denna kassa har således mer än väl det kapital och den nettovinst, som den andra kassan skulle behöva för att kunna fullgöra sina skyldigheter till delägarne.</w:t>
        <w:br/>
        <w:br/>
        <w:t>På grund av denna framställning har jag tillåtit mig taga till</w:t>
        <w:br/>
        <w:br/>
        <w:t>orda i dag för att yttermera understryka önskvärdheten av, att dessa Ökat anslag åt kassor sammanslås till en enda varigenom det tillskott från Riksg-</w:t>
      </w:r>
      <w:r>
        <w:rPr>
          <w:b/>
        </w:rPr>
        <w:t>änkeoch²</w:t>
      </w:r>
      <w:r>
        <w:rPr>
          <w:b w:val="0"/>
        </w:rPr>
        <w:t xml:space="preserve"> pu dagens sida, som nu kräves, icke vidare blir av behovet påkallat. ne oi Jag har gjort mig underrättad om huruvida bankoutskottets ledadelningskontor möter haft kännedom om dessa detaljer, men en sådan lär icke och pappersförefinnas i vidare mån än betänkandet utvisar. På grund härav bruk. ber jag få hemställa om en ändring i utskottets motivering. I (Forts) sista stycket näst sista raden skulle i stället för orden »då utskottet även i övrigt» insättas »då utskottet i likhet med fullmäktige finner det önskvärt att kassorna sammanslås för att bättre motsvara de ökade krav som ställas på desamma, samt även i övrigt» och därefter lika med utskottets formulering.</w:t>
        <w:br/>
        <w:br/>
        <w:t>Jag tror, att genom att inflicka dessa ord i motiveringen skulle bankofullmäktige däri finna stöd för att ännu en gång göra framställning om en sammanslagning av dessa båda kassor, och att denna framställning då skulle lända till det resultat, att de bleve sammanslagna under en administration, som i sin mån skulle kunna bättre ekonomisera den gemensamma kassan.</w:t>
        <w:br/>
        <w:br/>
        <w:t>Jag tillåter mig att lämna den upplysning, att den äldre kassan enligt 1911 års bokslut hade en behållning av 1,050,954: 45, under det den andra med lika många delägare endast hade hälften av den kapitalbehållningen. Det är ju alldeles naturligt att den äldre kassans delägare icke ville vara med om att lämna ifrån sig något till avdelningskontorens. Men jag anser, att när Riksdagen har lämnat och fortfarande lämnar understöd åt båda dessa kassor, bör Riksdagen kunna säga delägarne, att den önskar en sammanslagning, för att kassorna bättre skola motsvara de krav, som ställas på dem.</w:t>
        <w:br/>
        <w:br/>
        <w:t>Jag ber att få hemställa om bifall till utskottets hemställan med den lilla ändring, som jag tillåtit mig föreslå.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