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1247</w:t>
      </w:r>
    </w:p>
    <w:p>
      <w:r>
        <w:rPr>
          <w:b/>
        </w:rPr>
        <w:t xml:space="preserve">Datum: </w:t>
      </w:r>
      <w:r>
        <w:t>1913-04-21</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Eden (Liberala riksdagspartiet, man)</w:t>
      </w:r>
    </w:p>
    <w:p>
      <w:r>
        <w:rPr>
          <w:b w:val="0"/>
        </w:rPr>
        <w:t>Herr talman! I motsats till den senaste ärade talaren har jag för min del kommit till den övertygelsen, att kammaren gör rätt i att bifalla Kungl. Maj:ts proposition, och jag vill säga ifrån, att när jag kommit till denna övertygelse, så betraktar jag det icke, som den senaste ärade talaren antydde, såsom någon reträtt utan såsom resultatet av en enkel prövning av verkligheten och de faktiskt föreliggande förhållandena på detta område. Jag skall i allra största korthet sammanfatta de skäl, som lett mig till denna ståndpunkt, utan att gå något djupare in i de enskilda punkterna, som ju så utförligt och belysande utvecklats av herr ministern för utrikes ärendena.</w:t>
        <w:br/>
        <w:br/>
        <w:t>Mina skäl äro i korthet följande.</w:t>
        <w:br/>
        <w:br/>
        <w:t>Det är redan påvisat och även av herr Branting erkänt, att icke ens Schweiz har kunnat i alla avseenden och vid alla tillfällen uppehålla asylrätten på det sätt, som man nu tycks vilja lägga in i den ifrågavarande schweiziska klausulen. Jag påminner om, att herr Branting nyss antydde, att vid vissa tillfällen vederbörande schweiziska myndigheter icke kunnat hålla sig, som han uttryckte det, tillräckligt rakryggade utan funnit sig böra utlämna förbrytare, vilkas brott haft mer eller mindre en politisk bismak. Det framgår redan härav, vad som för mig synes vara huvudsaken i denna punkt, nämligen att med ett antagande av den schweiziska klausulen skulle våra myndigheter och vår regering komma att i en hel mängd fall utsättas för synnerligen kinkiga problem, där det gällde att kunna konstatera, huruvida brottet verkligen är av en rent politisk beskaffenhet, även när det är fråga om sådana här mord och mordförsök, eller huruvida man får anse, att ett annat moment finnes med i brottet och bör föranleda utlämning. Var gränsen i sådana fall skall gå, komme att bero på mycket subjektiva omdömen. Frågans pröfning skulle ovillkorligen giva tillfälle till påtryckningar från den makts sida, om vilken det kan vara tal, för den händelse det skulle visa sig, att de svenska myndigheterna vore böjda för att betrakta det begångna brottet som en rent politisk handling. För mig står saken så, att med ett antagande av den klausul, som regeringen föreslagit, eller den belgiska, slippa vi ifrån den ytterst pinsamma och i många fall nästan omöjliga uppgiften att fullt riktigt draga upp gränsen mellan politiskt och icke politiskt brott, när det gäller mord, mordförsök eller dråp mot ett främmande statsöverhuvud eller någon till en främmande suveräns</w:t>
        <w:br/>
        <w:br/>
        <w:t>familj hörande person. Vi få den enkla regeln, att sådana förbrytare måste utlämnas.</w:t>
        <w:br/>
        <w:br/>
        <w:t xml:space="preserve">Nu säger man visserligen, att detta icke alltid bör ske, nämligen icke när brottet är politiskt. Jag måste svara, att när man lägger märke till, vilka brott det är fråga om, mord, mordförsök eller dråp, så bjuder det mig i motsats till den siste ärade talaren emot att över huvud hänföra dylika till de allra grövsta brottarter hörande handlingar under politiska förseelser. Det är väl ändå på det sättet, att vi här i landet vänta, hoppas och fordra, att striden för politiskt framåtskridande skall föras med medel av annan art. Det är för oss mycket svårt att inse, att bara därför att mordet, mordförsöket eller dråpet varit riktat mot en suverän eller hans familj, bara därför att det blivit utfört av en man eller en </w:t>
      </w:r>
      <w:r>
        <w:rPr>
          <w:b/>
        </w:rPr>
        <w:t>kvinna¹</w:t>
      </w:r>
      <w:r>
        <w:rPr>
          <w:b w:val="0"/>
        </w:rPr>
        <w:t>, som hör till en radikal oppositionell riktning, att bara därför, säger jag, vi skulle försöka skydda denna mördare eller denna dråpare. Det synes åtminstone mig icke vara något ideal att ställa upp i förhållandet mellan folken. Våra sympatier och önskningar att hjälpa till, i den mån vi med våra små krafter kunna, i arbetet för framåtskridande inom de olika länderna, skall ingen därför kunna underkänna.</w:t>
        <w:br/>
        <w:br/>
        <w:t>Ett belysande exempel på, huru utomordentligt svårt det är att skilja mellan politiskt och icke politiskt brott, synes mig den siste ärade talaren själv ha givit, när han drog fram mordet på konung Georg av Grekland. Herr Branting sade, att man kommit på det klara med, att det mordet icke var ett politiskt mord, utan en rent privatpersonlig hämndeakt, och därför skulle den mannen utlämnas. Nu vet jag icke, på vilka grunder man kommit till den uppfattningen. Men antag, att det dock visat sig, att denne man, som det från början uppgavs i tidningarna, hört till en anarkistisk riktning, och antag även, att det visat sig, att han hade propagerat för de idéer, som den riktningen företräder, och det sedan blivit tal om, huruvida mordet var politiskt eller icke. Huru skulle det då ba gått? Är det verkligen rimligt, att därför att han tillhört en sådan riktning undantaga honom från utlämning? Mordet förbleve ju lika upprörande i varje fall. Det är begånget mot en man, som icke på något vis skadat honom. Det är begånget av en vettvilling, låt så vara, men i det av mig tänkta fallet av en vettvilling, som anför politiska skäl. Jag kan icke se annat, än att detta exempel liksom de allra flesta, som man kan draga fram, angående sådana förbrytelser just tala för den stora svårigheten att skilja emellan politiska och icke politiska brott, och jag kan icke finna annat, än att den mänskliga sympatien och känslan har rätt att reagera också mot dessa attentat, som riktas mot oskyldiga människor, mot människor, som på grund av sin ställning i en furstefamilj ådragit sig andras hat, men som icke i och för sig behöva ha gjort någonting alls för att förtjäna detta hat. Det är särskilt dessa skäl, som gör, att jag för min del icke kan finna annat, än att den av Kungl. Maj:t föreslagna klausulen är berättigad.</w:t>
        <w:br/>
        <w:br/>
        <w:t>Därtill kommer ännu ett skäl. Som redan i diskussionen har blivit upplyst, finnes det i åtskilliga traktater mellan Sverige och andra länder redan den klausul, som regeringen här föreslagit att ingå i lagen såsom allmän bestämmelse. Hur skulle det taga sig ut, om</w:t>
        <w:br/>
        <w:br/>
        <w:t>Riksdagen nu stiftade en lag, som ströke den klausulen, och på grund härav regeringen bleve tvungen att vidkommande alla dessa länder upphäva den klausulen, d. v. 8. den som medger utlämning av förbrytare, vilka förgripa sig på dessa länders statsöverhuvud och deras familjer. Det skulle betyda, att Sverige liksom återtoge ett skydd mot mördare och dråpare, som rikta sig mot dessa länders suveräner och statsöverhuvud och familjer, vilket skydd redan varit medgivet under längre eller kortare tid. Ett sådant återtagande kan enligt mitt förmenande icke gärna ske utan misstolkning och utan att medföra stora internationella obehag, och det finns icke heller något skäl att göra det.</w:t>
        <w:br/>
        <w:br/>
        <w:t>Herr Branting slutade sitt anförande med en som alltid varmhjärtad appell till Andra kammaren, att den skulle visa sin självständighet genom att fasthålla vid formuleringen av denna paragraf, sådan som lagutskottet har lämnat den till kammaren. Jag vill till denna vädjan endast anmärka, att man icke har rätt att, om: kammaren här med lugnt omdöme och efter mogen prövning bifaller Kungl. Maj:ts förslag, säga, att kammaren därvid fallit undan, därför att en och annan stormakt »har rynkat ögonbrynen». Jag vet icke ens, att något sådant inträffat, som antyder, att någon stormakt lagt sig i vår behandling av denna lag. Men jag tror, att kammaren skulle bättre sauvera vårt land för framtiden, om den icke utsatte dess regering och oss själva för de mycket stora risker, som kunna inträffa i det fall, att kammaren skulle bifalla utskottets förslag oförändrat. Jag tror, att kammaren skulle kunna komma i tillfälle ångra, att den har tagit utskottets förslag, ifall en olycka inträffade, och vi med anledning härav bleve utsatta för påtryckningar från det land, där detta skett, därför att det på grund av lagens bestämmelser icke bleve oss möjligt att utlämna en anarkistisk förbrytare bara därför att han anför politiska motiv, hur mycket vi än må ha ogillat brottet.</w:t>
        <w:br/>
        <w:br/>
        <w:t>Jag skall be att få yrka bifall till Kungl. Maj:ts förslag.</w:t>
      </w:r>
    </w:p>
    <w:p>
      <w:pPr>
        <w:pStyle w:val="Heading2"/>
      </w:pPr>
      <w:r>
        <w:t>2. Vilhelm Lundström (Lantmanna- och borgarepartiet inom andrakammaren, man)</w:t>
      </w:r>
    </w:p>
    <w:p>
      <w:r>
        <w:rPr>
          <w:b w:val="0"/>
        </w:rPr>
        <w:t>Jag har det numera tyvärr ganska sällsynta nöjet att kunna helt och hållet instämma med min ärade vän på uppsalabänken, och jag skulle därför nu icke tagit till orda, om det icke varit ett par yttranden av herr Branting, som förefallit mig icke böra stå oemotsagda. Herr Branting började sitt anförande med ett beslöjat attentatförsvar, av vilket det halft pinsamma intrycket ännu vilar kvar hos mer än en i kammaren, och han slutade med ett storsvenskt, jag skulle nästan vilja säga chauvinistiskt yttrande, som kunde försätta även den, som eljest brukar beskyllas för dylikt, i en viss förskräckelse över de stora orden. Men när herr Branting mot slutet av sitt anförande nämnde namnet Eugen Schauman, får jag verkligen säga, att han är på oriktiga vägar i sin argumentering. Här är i detta fall icke fråga om personer, som drivna av en övertygelse — den må vara riktig eller oriktig — begå en gärning och sedan göra upp räkningen med sig själva. Vi tala icke om hjältar i detta fall, herr Branting, utan om dem, som begå en gärning och</w:t>
        <w:br/>
        <w:br/>
        <w:t>sedan söka slippa undan genom att söka skydd bakom tredje mans Lag ang. eller tredje makts rygg. utlämning " Det finns en synpunkt, som av många, alltifrån det att det första , (Forte) utmärkta anförandet på statsrådsbänken hölls och sedan än vidare, | understrukits, men som efter herr Brantings anförande måste ytterligare en gång understrykas, och det är den frågan: är det alltid säkert, att vi ens äro mäktiga att upprätthålla det, som vi nu enligt lagutskottets mening skola vara beredda att göra till svensk lag? Det förefaller mig, som om den saken icke vore otänkbar, att jämväl en så rakryggad man som herr Branting, såsom svensk regeringschef eller utrikesminister, kunde komma i den ställningen, att till och med hans rakryggade karaktär bågnade under det stora tryck, som kunde ställas på oss, om en av de oss kringliggande makternas överhuvud bleve mördad och mördaren sökte tillflykt hos oss. Det kan hända, att till och med han skulle komma i den svåra dilemman att antingen nödgas se efter, hur det stod till med de medel, med vilkas hjälp man velat trotsa, eller också att nödgas fråga, om icke härvid gällde, att i krig, även de diplomatiska, det förekomme tillfällen, då mer oförsiktigt stiftade lagar kunde tvingas att tystna och tiga. Det är inför en sådan eventualitet, som jag anser, att vi icke ha rätt att ställa en kommande svensk regering och ytterst det svenska fosterlandet. Jag tror därför, att det är med lika stark fosterlandskänsla och lika stark känsla av Sveriges värdighet, som jag för min del vågar bestämt säga, att herr Brantings väg i detta fallet är en olycklig sådan. Herr Branting sade också, att vi icke skulle låta skrämskotten i detta fall verka på oss, och själv var han övertygad, att vi icke behövde tro på dem. Ja, om en dylik tro kan man naturligtvis icke disputera, men så mycket är säkert, att nog är det en underlig politik att år efter år vilja göra allt för att minska de medel, genom vilka Sverige skulle kunna stå mera rakryggat i världen, och samtidigt skapa nya möjligheter till konflikter. Det är den politik, jag icke begriper, och det är därför, som jag, herr talman, ber att få yrka bifall till Kungl. Maj:ts förslag.</w:t>
        <w:br/>
        <w:br/>
        <w:t>Herr Branting: Herr talman! Jag skulle kunna svara den sista talaren, att ej heller jag förstår den politik, han och hans meningsfränder driva. Å ena sidan säga de, att de vilja göra det bästa möjliga för Sveriges ära och anseende, och för att Sverige skall få en så självständig och framskjuten roll som möjligt. Så fort det dock å andra sidan gäller att hävda en rättsgrundsats, skall man på förhand inrätta sig så, att man faller undan för ett eventuellt hot, man skall vara angelägen icke om att rätten skall följas, utan att makten skall följas. Jag förstår icke den sortens chauvinistiska politik, och jag tillbakavisar för övrigt som ett ganska misslyckat skämt försöket att tolka mitt uttalande nyss som något som helst utslag av chauvinism. Jag måste också tillbakavisa den besynnerliga distinktion, som herr Lundström gjorde med avseende å olika attentatsmän, i det han näm-</w:t>
        <w:br/>
        <w:br/>
        <w:t>ligen skilde på sådana, som sedan taga sitt liv och vilka han ville betrakta som hjältar, och alla andra. Alltså, mot attentatet självt tyckes herr Lundström icke vara så fientlig, men när det blir fråga om handlingens senare konsekvenser för gärningsmannen, om han har gjort upp räkningen med livet och själv fortsätter genom att bära hand på sig själv, då må han enligt herr Lundströms mening betraktas som en beundransvärd figur. Jag tror, att det icke går att göra en så enkel distinktion i detta fall. Det kan helt visst tvärtom finnas attentatsmän, som genom sitt tillvägagående att döda sig för att kanske undgå vad värre är, ingalunda visat sig vara några hjältar, men det kan också finnas, och det har även historiskt funnits personer, vilka begått attentat och som sedan icke vänt vapnet mot sig själva, och om vilka jag, trots både herr Lundström och alla hans meningsfränder, tror, att de varit personer, vilka haft rätt att kräva högaktning även från deras sida, som ogilla deras åsikter och naturligtvis än mera deras gärning.</w:t>
        <w:br/>
        <w:br/>
        <w:t>Attentatsfrågan har för övrigt indragits här i diskussionen på ett sätt, som kanske nödvändiggör en förklaring, vilken jag verkligen trott skulle varit överflödig, nämligen att jag med mitt resonemang icke ett ögonblick har velat uppmuntra till attentat eller talat till attentatspolitikens försvar. Hela min verksamhet under den tid, jag tillhört politiken, vittnar dock tydligt om, att jag icke velat gå sådana vägar. Detta är en sak. En annan är den, att så orimliga och upprörande kunna förhållandena gestalta sig i ett visst land och under vissa situationer, att man sannerligen icke kan döma dem, vilka lämnat de lagliga vägarne för att tillgripa olagliga medel, när dessa lagliga vägar spärrats och när varje försök att bruka dem undertryckts med våld och blod. Då kan det vara nödvändigt och naturligt, att den mänskliga naturen reagerar, och det kommer den att göra i alla tider, så länge sådana försök komma att fortgå. Den saken har man rätt att säga ut, utan att behöva bli beskylld för att indirekt uppmana till attentatspolitik under lagliga och fredliga förhållanden.</w:t>
        <w:br/>
        <w:br/>
        <w:t>Jag begärde emellertid icke ordet för att bemöta herr Lundström —— han kom med sitt inlägg senare — utan för att säga något med anledning av herr Edéns anförande. Denne ärade talare vände upp och ned på förhållandena ganska ordentligt efter mitt sätt att se saken.</w:t>
        <w:br/>
        <w:br/>
        <w:t>För det första frapperade det mig, att han, som har ett så klart huvud, ville tillråda kammaren att, därför att det kunde vara svårt att definiera det politiska brottet i vissa fall, nämligen var det politiska brottet börjar och var det slutar, man nu skulle draga en gräns, varigenom allting, både politiska och icke politiska brott, komme att hemfalla under utlämning. Det är så bekvämt, ty då slipper man ifrån definitionen! Detta synes mig dock vara ett sätt att lagstifta, som icke kan vara hållbart.</w:t>
        <w:br/>
        <w:br/>
        <w:t>Herr Edéns framställning i den delen, att vi särskilt skulle försöka &gt;skydda mördare» genom denna lagstiftning, är alldeles vilseledande. Vad vi vilja skydda är de politiska förbrytarne, med avseende å vilka det måste i varje särskilt fall prövas, om det varit övervägande av politiska motiv, som de begått sin handling eller icke, och om om-</w:t>
        <w:br/>
        <w:br/>
        <w:t>ständigheterna i övrigt varit sådana, att de kunna göra anspråk på att behandlas såsom politiska förbrytare och således icke bli föremål för utlämning. Det är den prövningen från domstols sida, som hela tiden är förutsatt och som ligger bakom såsom grundval för det hela. Det är den svenska domstolen, som skall pröva detta, och tro herrarne verkligen, att en svensk domstol, i fall det begås ett attentat mot en utländsk suverän, vilket allmänt uppfattas såsom en upprörande förbrytelse, och om sedan denne, som begått denna handling, händelsevis lyckas komma hit till landet och hans sak här skall prövas och han därvid åberopar, att han är anarkist eller något dylikt —-, tro herrarna då, att en svensk domstol skall bry sig om en sådan generell förklaring? Den håller sig naturligtvis till vad som kan utletas om de verkliga motiven till handlingen. Och har det då varit ett sådant fall som detta i Grekland, ett tillbakavisande av en ansökning om understöd, en urspårad individ som klagar över att han icke fått den uppmuntran som han sökt —, är det då rimligt att han skulle med några allmänna anarkistiska talesätt kunna omvända en svensk domstol till att tro, att i hans fall föreligger en politisk förbrytelse?</w:t>
        <w:br/>
        <w:br/>
        <w:t>Nej, man behöver bara ställa frågan i konkret form för att vara viss om svaret. Men för att trassla till det hela tog herr Edén icke det konkreta grekiska fallet, utan antog till detta, att det skulle ha gällt någon slags anarkistisk attentator, som för övrigt haft dessa andra anledningar till sitt brott. Han konstruerade således med full avsikt upp ett av de gränsfall, som alltid, där det gäller subjektiv prövning, kunna uppkonstrueras, men som naturligtvis äro sällsynta. I ett synnerligen ringa antal fall komma väl omständigheterna att vara så pass oklara, att vågskålen icke bestämt sjunker åt ena eller andra sidan. Vad vi vilja förebygga är emellertid blott, att man skall så lagstifta, att vågskålen blott kan sjunka åt ena sidan och att man således skall vara tvungen att även i de fall, då ett allmänt rättsmedvetande reser sig mot ett sådant utlämnande, dock utlämna på grund av lagens formulering.</w:t>
        <w:br/>
        <w:br/>
        <w:t>Det har talats förut om vissa länders förhållanden. Men jag tänker på sådant, som vi minnas från de senaste årens historia, t. ex. statsvälvningen i Portugal och de föregående morden där, som begåtts av uppenbart politiska bevekelsegrunder, eller förhållandena i Serbien, där sannerligen den ena dynastiens framfart mot den andra varit sådan, att jag för min del icke tvekar ett ögonblick att säga, att det där varit mycket mera av privata än av politiska synpunkter, som spelat in. Är det då, frågar jag, med tanke på alla dessa fall, rimligt, att man här i landet skall ställa sig på en annan ståndpunkt än den, som i övrigt genomgår lagen, endast därför att det gäller furstliga familjemedlemmar?</w:t>
        <w:br/>
        <w:br/>
        <w:t>Det sista skälet, som herr Edén framförde, förefaller mig ännu mera orimligt, om det uttrycket tillåtes mig. Det var nämligen det, att när vi hava i vissa traktater sådana här bestämmelser, kan det icke gå för sig, att vi nu ställa oss på en annan ståndpunkt. Ja, har man den uppfattningen, då frågar jag verkligen, varför man över huvud taget kommer till Riksdagen och låter Riksdagen bestämma något i detta avseende. Är det bara därför, att Kungl. Maj:t på grund</w:t>
        <w:br/>
        <w:br/>
        <w:t>av sin myndighet att ingå traktater med främmande makter infört vissa rättsgrundsatser, som vi skola böja oss, då tjänar det icke något till att resonera vidare om saken. Jag trodde emellertid, att Riksdagen här skulle för första gången få säga sitt ord om den ståndpunkt den anser för sin del riktig och hållbar och den för Sveriges ära och anseende bästa, när man vill tänka sig Sverige såsom ett land, där man omsorgsfullt vårdar asylrätten även för förföljda politiska förbrytare. Det är den ståndpunkten jag utgått ifrån. Eljest skulle det icke fallit mig in att, om herr Edéns utgångspunkt i detta sista stycke varit den riktiga, alls begära ordet i denna fråga, ty i fall vi endast ha att följa på den väg, där Kungl. Maj:t gått förut, då är Riksdagens hela behandling av saken endast en tom formalitet.!</w:t>
      </w:r>
    </w:p>
    <w:p>
      <w:pPr>
        <w:pStyle w:val="Heading2"/>
      </w:pPr>
      <w:r>
        <w:t>3. Carl Lindhagen (Socialdemokraterna, man)</w:t>
      </w:r>
    </w:p>
    <w:p>
      <w:r>
        <w:rPr>
          <w:b w:val="0"/>
        </w:rPr>
        <w:t>Då nu med anledning av den liberala omsvängningen frågan kommer att ligga efter de rena linjerna, skall jag, herr talman, be att få återtaga mitt yrkande om bifall till reservationen, ehuru från min synpunkt sett jag fortfarande håller på, att detta yrkande vore det riktigaste. Jag skall emellertid med anledning av denna liberala omkastning, som vi nu fått bevittna, be att få säga några ord.</w:t>
        <w:br/>
        <w:br/>
        <w:t>När herr utrikesministern uppträdde här i dag, framhöll han, att denna sak vore av en ofantlig vikt och att ett avsteg från Kungl. Maj:ts proposition vore synnerligen äventyrligt. Men läser man den motivering, som herr utrikesministern själv givit för detta förslag, finner man, att han där icke alls intagit en sådan räddhågad ståndpunkt, utan att han tvärtom börjar med att säga, att det är synnerligen tveksamt, huruvida den belgiska attentatsklausulen hos oss bör upptagas. Så börjar väl dock icke en person, som tror, att det är ett livsintresse att antaga den.</w:t>
        <w:br/>
        <w:br/>
        <w:t>Jag hör nu, att det lär vara herr justitieministern, som sagt detta, men herrarne äro ju solidariska, så att jag kan i alla fall åberopa även herr justitieministerns yttrande.</w:t>
        <w:br/>
        <w:br/>
        <w:t>Justitieministern alltså säger, att detta kan synas tveksamt. Om man nu omfattar den objektiva teorien, säger justitieministern, är det alldeles nödvändigt att taga upp denna klausul. Men går man på den schweiziska linjen, såsom Kungl. Maj:t här gjort, är det inte alls nödvändigt.</w:t>
        <w:br/>
        <w:br/>
        <w:t>Justitieministern fortsätter: »Då emellertid den ifrågavarande klausulen har hävd inom icke blott vår utan även de flesta europeiska staters utlämningsrätt och man mot syftet med klausulen näppeligen kan anföra någon berättigad invändning, synes det mig mindre lämpligt att frångå denna regel.»</w:t>
        <w:br/>
        <w:br/>
        <w:t>När nu vår justitieminister, som kanske i detta fall ser saken lugnare än vår utrikesminister, i alla fall har kunnat ställa sig så tveksam, som han gjort, eller åtminstone på en sådan tämligen indifferent ståndpunkt, tror jag icke, att de fruktansvärda faror, som herr utrikesministern — till skillnad från sin kollega, Justitieministern — här utmålade, verkligen här föreligga.</w:t>
        <w:br/>
        <w:br/>
        <w:t>Vad beträffar orsaken till att herr Edén, vilken Ju, som herr Branting mycket riktigt sade, har ett klart huvud, här trasslade in</w:t>
        <w:br/>
        <w:br/>
        <w:t>sig, var den nog helt enkelt, att han icke fick tillfälle att här begagna Lag ang. sig av detta sitt klara huvud. Han stod nämligen helt plötsligt inför wtlämning av den situationen att såsom liberala partiets chef på order från den förbrytare. liberala regeringen vara tvungen att uppfordra partiet att ögonblick- (Forts. ligen slå in på den ursprungligen föreslagna linjen, och icke gå på</w:t>
        <w:br/>
        <w:br/>
        <w:t>den, som partiets utskottsmedlemmar förordat. Det är inte så gott</w:t>
        <w:br/>
        <w:br/>
        <w:t>att finna sig i en sådan situation, till på köpet när man icke är inne</w:t>
        <w:br/>
        <w:br/>
        <w:t>i ämnet utan måste säga vad som helst. Herr Edén begagnade sig</w:t>
        <w:br/>
        <w:br/>
        <w:t>också mycket flitigt av detta språkande i allmänhet utan att ha känne-</w:t>
        <w:br/>
        <w:br/>
        <w:t>dom om vad saken rörde sig om.</w:t>
        <w:br/>
        <w:br/>
        <w:t>Nu är det verkligen på det sättet, att orsaken till att man i England och Amerika och Schweiz — och till hälften också vår justitieminister — tycker, att denna klausul kunde vara borta, är den, att man vill likställa alla brott av nämnda art och icke göra några undantag särskilt för brott mot statsöverhuvuden och suveränernas familjemedlemmar.</w:t>
        <w:br/>
        <w:br/>
        <w:t xml:space="preserve">I förbigående sagt vill jag påpeka, att herr justitieministern icke upplyst oss om, varför den liberala regeringen vill skydda kejsarinnan av Japan men icke </w:t>
      </w:r>
      <w:r>
        <w:rPr>
          <w:b/>
        </w:rPr>
        <w:t>fru²</w:t>
      </w:r>
      <w:r>
        <w:rPr>
          <w:b w:val="0"/>
        </w:rPr>
        <w:t xml:space="preserve"> Wilson. Det fanns till och med konservativa medlemmar 1 lagutskottet, som voro upprörda över denna skillnad, och det var rent av ifrågasatt en konservativ framryckning för att bringa rättvisa i detta missförbållande.</w:t>
        <w:br/>
        <w:br/>
        <w:t>Nu trodde emellertid herr Edén, att det här var fråga om, huruvida man, när det gällde mord, mordförsök eller dråp över huvud taget skulle kunna få detta räknat till politiska brott. Han generaliserade saken och betonade svårigheterna vid avgörande i allmänhet. Men här gäller det bara frågan om statschefernas och suveränernas familjers särställning i sådana fall. Det gäller då icke fråga, om brottet är politiskt eller icke. Det blir dock lika svårt att avgöra detta spörsmål i alla de fall, då brottet riktar sig mot andra för sådana attentat lätt utsatta personer. Sålunda är det bara fråga om, huruvida vi icke kunna, likaväl som Schweiz, England och Amerika, taga bort den skillnad, som råder emellan å ena sidan krönta suveräner och republikpresidenter ävensom de krönta suveränernas familjer och å andra sidan de republikanska presidenternas familjer, och andra människor. Det är dithän utvecklingen dock går, och det är ur den synpunkten jag skall be att få yrka bifall till utskottets förslag.</w:t>
        <w:br/>
        <w:br/>
        <w:t>Jag vill för övrigt framhålla en annan sak. Det är en sorglig företeelse i det politiska livet, att partierna absolut skola följa sina regeringar eller ledningar i frågor, som dessa till äventyrs göra till sina. Därigenom få de olika partimedlemmarna aldrig tänka själva utan trummas ihop och piskas in, och på det sättet blir man en nolla var och en i sin stad. En huvudsak i det politiska livet borde väl ändå vara, att individen får tänka själv och göra, som han själv tycker, så att, om han anser, att en minister talat bra, så följer han honom, men om han icke tycker det, följer han honom icke. Då skulle man kunna uppnå ofantligt mycket fruktbarare resultat än med en ensidig partiinpiskning på alla linjer.</w:t>
        <w:br/>
        <w:br/>
        <w:t>Jag vädjar till alla, som anse, att England, Schweiz och Amerika visat sig värda att få efterföljare i sina strävanden att hävda frihets-</w:t>
        <w:br/>
        <w:br/>
        <w:t>7 1 det fallet säga.</w:t>
      </w:r>
    </w:p>
    <w:p>
      <w:pPr>
        <w:pStyle w:val="Heading2"/>
      </w:pPr>
      <w:r>
        <w:t>4. Nils Eden (Liberala riksdagspartiet, man)</w:t>
      </w:r>
    </w:p>
    <w:p>
      <w:r>
        <w:rPr>
          <w:b w:val="0"/>
        </w:rPr>
        <w:t>Herr talman! Med anledning av herr Lindhagens senaste anförande kan jag naturligtvis icke ha mycket att säga. Jag skall inskränka mig till en enda kort liten anmärkning. Herr Lindhagen behagade finna, att jag i denna frågan hade ansett mig kunna »säga vad som helst». Jag får svara, att den förebråelsen från det hållet kommer bra överraskande. Herr Lindhagen har begagnat just det privilegiet att »säga vad som helst» i så många andra frågor och begagnar det ständigt, att herr Lindhagen icke borde slå an den tonen.</w:t>
        <w:br/>
        <w:br/>
        <w:t>Herr Brantings anförande ger mig anledning till den gensagan, att då herr Branting mot mig yttrat, att jag vänt upp och ned på förhållandena, så kan jag helt och hållet återgälda denna artighet till honom själf. Jag kan nämligen icke finna annat än att herr Branting med sina allmänna uttryckssätt har skylt undan vad det här egentligen gäller. Herr Branting säger, att den argumentering jag fört skulle avse att uppdraga en sådan gräns, att allting, både politiska brott och icke politiska brott, skulle föranleda utlämnande. Ja, det är mycket sant, men inom ett visst synnerligen begränsat område, herr Branting. Naturligtvis endast i de fall, där det gäller mord, mordförsök eller dråp och där mordet, mordförsöket eller dråpet rikta sig mot sådana personer inom ett främmande land, att därav kunna befaras komplikationer i vårt förhållande till detta land. Det är därför alldeles orimligt att framställa saken så, som om den politiska asylrätten här i Sverige skulle löpa fara att alldeles förloras, därför att vi icke kunna medgiva, att, när ett mord är begånget på ett främmande statsöverhuvud eller en medlem av statsöverhuvudets familj eller när ett mordförsök eller dråp skett, detta skall betraktas såsom ett politiskt brott. Det är bara detta det gäller och icke något annat. Herr Branting har icke någon rätt att påstå, att därmed Sverige skulle komma på efterkälken i fråga om asylrättens vårdande. Det är redan under diskussionen uppvisat, att det finnes en hel del andra länder, t. ex., om jag hörde rätt, Frankrike och Norge, som i detta fall äro strängare än Sverige skulle bli. Det är väl dock att något driva upp anspråken på Sveriges roll såsom föregångsland att utan vidare påstå, att vi ha skyldighet och att det vore lämpligt för oss att ställa oss vid sidan av England och Nordamerikas Förenta stater.</w:t>
        <w:br/>
        <w:br/>
        <w:t>Jag skall emellertid tillåta mig ännu en anmärkning. Herr Branting ville göra gällande, att om ett sådant brott blivit begånget, komma omständigheterna alltid att ligga så klara, att man kan vara viss om huruvida brottet varit politiskt eller icke. Jag trotsar vem som helst att kunna visa upp, att så är förhållandet. Herr Branting anförde mot mig, att jag konstruerat upp ett fall, när jag anförde, att mannen där nere i Saloniki kunnat lika gärna vara medlem av ett anarkistiskt sällskap. Det var han nu för resten enligt tidningsuppgifter, och jag kan icke finna annat än att man i det fallet gått</w:t>
        <w:br/>
        <w:br/>
        <w:t>omkring den politiska asylrätten — om den nu kunde anses tillämplig Lag ang. där nere — när man utlämnade honom. Men vi kunna för ÖVrigt "förbrytare</w:t>
        <w:br/>
        <w:br/>
        <w:t>taga vilka exempel som helst. Vi kunna tala om andra attentat, som begåtts i senare tid. Om det inträffat, att den, som för några år sedan mördade konungen av Italien, tagit sin tillflykt hit, skulle herr Branting ansett brottet vara tillräckligt upprörande eller icke för att utlämna den mannen? Att den mannen begått brottet av politiska motiv var åtminstone på den tiden fullkomligt klart. Jag menar det, att när man i den politiska kampen kommit så långt, att det blir fråga om mord, mordförsök eller dråp, då kan icke ett land vara skyldigt att med sin trygghet och sin existens stå inne för att skydda en sådan mördare eller dråpare, även om han riktat sina vapen av politiska motiv, och då är det egentligen alldeles omöjligt att säga var de politiska motiven sluta och var den allmänt mänskliga bestialiteten börjar. I vissa fall kan det, alldeles såsom herr Branting uttryckte det, vara en hjälte utan tvivel, som gör en sådan handling, men en hjälte brukar också taga risken av sin gärning och icke vara överraskad av att ett annat land icke står inne för att skydda honom, om han icke lyckas gömma sig undan.</w:t>
      </w:r>
    </w:p>
    <w:p>
      <w:pPr>
        <w:pStyle w:val="Heading2"/>
      </w:pPr>
      <w:r>
        <w:t>5. Hjalmar Branting (Socialdemokraterna, man)</w:t>
      </w:r>
    </w:p>
    <w:p>
      <w:r>
        <w:rPr>
          <w:b w:val="0"/>
        </w:rPr>
        <w:t>tro herrarne, att en svensk domstol skulle vägra att utlämna, när ett upprörande brott är begånget? Ja, det beror på. Jag tror icke, att den i sådana fall skulle vägra att utlämna, ty den skulle nog känna sig tvungen att göra det, men ett sådant utlämnande skulle kunna giva anledning till just den tolkning, som herr Branting vill ha bort, nämligen att vi falla undan för påtryckningar från någon främmande makt. Det är detta, som föranleder mig att säga, att det är just herr Branting och icke jag, som vänt upp och ned på förhållandena. Herr Branting säger, att när det gäller att hävda en rättsgrundsats, vill man, d. v. s. herr Brantings motståndare i denna debatt, på förhand inrätta sig så, att man faller undan. Nej, tvärtom herr Branting, man vill inrätta sig så, att man icke faller undan. Man vill inrätta sig så, att man har på förhand bestämda kategorier givna, i vilka man utan vidare utlämnar och i vilka man frångår den allmänna regeln rörande politiska brott.</w:t>
        <w:br/>
        <w:br/>
        <w:t>Herr Lindhagen kom nu i sitt senaste anförande tillbaka till att han fann det underligt — han kanske till och med sade upprörande — att lagen skulle skydda suveräners familjer men icke statsråd och icke presidenters familjer. Detta kan besvaras helt enkelt så, att det, så vitt jag förstår, är en rent praktisk synpunkt som följts. Herr Lindhagen torde veta lika väl som jag, att suveräners familjer alldeles givet i de länder, där sådana attentat, som det här är fråga om, förekomma, måste bli på helt annat sätt exponerade än en för kort tid vald presidents gemål eller familj blir. Den senare träder egentligen icke fram ur det vanliga borgerliga samhället utan lever i huvudsak liksom mitt inne i detta samhälle och träder i varje fall sedan tillbaka till det. Det förvillade politiska hatet har icke samma anledning att rikta sig mot presidenternas som mot suveräners familjer. Jag kan taga ett exempel, om så behövs. Anses det verkligen, att det icke skulle varit ett upprörande brott och ett brott, som bort föranleda utlämning, om det varit inom Sverige, som en vettvillig anar-</w:t>
        <w:br/>
        <w:br/>
        <w:t xml:space="preserve">kists dolk träffat den av alla såsom en ädel, varmhjärtad och fin människa ansedda kejsarinnan Elisabeth av Österrike? </w:t>
      </w:r>
      <w:r>
        <w:rPr>
          <w:b/>
        </w:rPr>
        <w:t>Hon²</w:t>
      </w:r>
      <w:r>
        <w:rPr>
          <w:b w:val="0"/>
        </w:rPr>
        <w:t xml:space="preserve"> tillhörde en suverän familj och föll för en fanatikers dolk utan något som helst eget förvållande. </w:t>
      </w:r>
      <w:r>
        <w:rPr>
          <w:b/>
        </w:rPr>
        <w:t>Hon²</w:t>
      </w:r>
      <w:r>
        <w:rPr>
          <w:b w:val="0"/>
        </w:rPr>
        <w:t xml:space="preserve"> är ett exempel på att en upphettad hjärna kan komma så långt ur spåren, att den vänder sig mot fullkomligt oskyldiga medlemmar av suveräna familjer. Vad beträffar statsråd och andra statstjänare, förmodar jag, att orsaken till att man icke särskilt skyddat dessa är, att man icke vill sträcka denna klausul längre än man ansett vara absolut nödvändigt. När ett mord eller ett mordförsök drabbar en suverän eller hans familj, drabbar det nämligen likasom representanter för hela den stat och det land, som det är fråga om. Och då kan den staten ha större anspråk på att förbrytaren skall utlämnas, än om det gäller en ämbetsman, även en högt uppsatt ämbetsman.</w:t>
        <w:br/>
        <w:br/>
        <w:t>Jag slutar med att återigen betona, att efter mitt förmenande har kammaren full rätt, och jag tror, att kammaren skulle göra rätt uti, att tänka på, vilka svårigheter som kunna uppstå, om kammaren bifölle utskottets förslag. Och jag protesterar mot att man försöker framställa denna sak så, som om Sverige icke skulle i tillbörlig och rimlig utsträckning hävda asylrätten. Det är redan sagt från statsrådsbänken — och icke motsagt — att den utlämningslag, som här ligger inför kamrarne, även med Kungl. Maj:ts utlämningsklausul i denna punkt är ett mycket liberalt förslag, som överskrider vad åtskilliga andra, även modärna lagstiftningar, ha medgivit till skydd för politiska förbrytare.</w:t>
        <w:br/>
        <w:br/>
        <w:t>Under sådana förhållanden är det inte riktigt och länder endast till förvillande av omdömet om det verkliga läget, att säga, att vi icke äro rakryggade, även om vi nu gå med på attentatsklausulen.</w:t>
        <w:br/>
        <w:br/>
        <w:t>Jag ber att få vidhålla mitt förra yrkande.</w:t>
      </w:r>
    </w:p>
    <w:p>
      <w:pPr>
        <w:pStyle w:val="Heading2"/>
      </w:pPr>
      <w:r>
        <w:t>6. Jakob Pettersson (Liberala riksdagspartiet, man)</w:t>
      </w:r>
    </w:p>
    <w:p>
      <w:r>
        <w:rPr>
          <w:b w:val="0"/>
        </w:rPr>
        <w:t>Herr Lindhagen har riktat några bittra ord till de liberala medlemmar av utskottet, som i denna fråga ändrat ståndpunkt. Jag vill i anledning härav gärna medgiva, att det i allmänhet icke är tilltalande, när en person i kammaren talar för en annan mening än den han hävdat i utskottet, och jag erkänner, att det vore beklagligt, om något sådant skulle bli vanligt. Men å andra sidan vill jag påstå, att fall kunna inträffa, då man under diskussionen i kammaren måsie komma till en annan mening än den, man haft tillfälle att bilda sig under utskottsbehandlingen.</w:t>
        <w:br/>
        <w:br/>
        <w:t>I det nu föreliggande fallet får jag för min personliga del avgiva följande förklaring. Under utskottsbehandlingen hävdade herr Lindhagen de synpunkter på frågan, som här i kammaren i dag framförts av honom och herr Branting. Dessa synpunkter framstodo för mig såsom i hög grad beaktansvärda. Av det vid propositionen fogade statsrådsprotokollet inhämtades, att herr justitieministern själf funnit det mycket tveksamt, vilken ställning man här borde intaga. Och, såsom herr utrikesministern i dag här erkänt, kan man icke säga, att något principiellt hinder föreligger för att alldeles stryka ifrågavarande klausul. Under sådana omständigheter bör det förefalla ganska natur-</w:t>
        <w:br/>
        <w:br/>
        <w:t>sigt, om de liberala ledamöterna i lagutskottet kommit till det slut, som betänkandet utvisar. é</w:t>
        <w:br/>
        <w:br/>
        <w:t>Nu har emellertid här i kammaren herr utrikesministern uti ett klart och utförligt anförande förebragt, som det vill synas mig, fullt övertygande bevis för att den ståndpunkt, till vilken vi i utskottet kommit, medför praktiska olägenheter och faror, om vilka han på grund av sin sakkunskap har en bättre kännedom än vi kunna äga, och då vill det synas, som om man har ganska goda sakliga skäl för att erkänna, att man kommit till en bättre och klarare insikt än den man förut kunnat förvärva.</w:t>
        <w:br/>
        <w:br/>
        <w:t>Jag vill på samma gång inlägga en bestämd gensaga emot herr Lindhagens tal om att här skulle ha utgått någon order eller påstötning till de liberala kammarledamöterna om att uppgiva sin mening samt att det liberala partiet skulle vara nödsakat att i allt följa sin regering. För min egen personliga del får jag säga, att jag ingalunda mottagit någon order eller anmodan av nämnda innehåll samt att jag icke kännes vid någon sådan plikt, som herr Lindhagen antytt. Men å andra sidan vill jag villigt erkänna, att det är min plikt att böja mig för sakskäl, både när de komma från regeringen och från annat håll, och i denna sak kan jag icke finna annat än att regeringen förebragt sakskäl. Vad skulle för övrigt dessa långa debatter i kammaren tjäna till, om det inte skulle vara en representants rätt och skyldighet, att när tillräckligt starka skäl här förekomma, låta sig av dem</w:t>
        <w:br/>
        <w:br/>
        <w:t>övertygas? För min del kommer jag icke att avstå från rätten att böja mig för sakskäl.</w:t>
        <w:br/>
        <w:br/>
        <w:t>Herr Branting: Herr talman! Jag vill inte alls bestrida herr Pettersson i Södertälje rätten att böja sig för sakskäl. Jag hoppas, att det måtte förhålla sig så, att det verkligen varit under den här förda debatten, som denna förvandling försiggått, och att icke de av herrarne, som komma att rösta emot utskottets förslag, redan förut låtit övertyga sig, att det var riktigare att så göra.</w:t>
        <w:br/>
        <w:br/>
        <w:t>Jag nödgas dessutom säga några ord med anledning av herr Edéns svar till mix. Han åberopade bland annat Frankrike, och det är ju så, efter vad som upplysts, att Frankrike har gått med på den belgiska attentatsklausulen. Men det är å andra sidan ett faktum — jag kan verkligen icke förklara i detta ögonblick, hur det har tillgått, men det är ett faktum — att när en rysk terrorist år 1881 hade gjort ett attentat emot dåvarande kejsar Alexander och flytt till Frankrike, debatterades där livligt frågan om hans utlämnande, men han blev till sist icke utlämnad. Hans namn är för Övrigt ganska bekant, han hette Hartmann, och han gav sig sedan över till England. Trots attentatsklausulen blev han sålunda icke utlämnad, och då synes det mig, att man får nog ta det franska exemplet på denna attentatsklausuls tillämpning med en viss försiktighet, när ett sådant faktiskt fall föreligger.</w:t>
        <w:br/>
        <w:br/>
        <w:t>Vidare förklarade herr Edén att vad han och hans meningsvänner vilja är att inrätta oss så, att vi icke sedan behöva falla undan. Nej, tacka för det! Man skall nu från början falla undan så långt, att man tar med även fall, då man varken skulle behöva eller skulle vilja</w:t>
        <w:br/>
        <w:br/>
        <w:t>falla undan, — och sedan skall man slå sig för sitt bröst och säga:</w:t>
        <w:br/>
        <w:br/>
        <w:t>utlämning av Vi behöva icke falla undan!</w:t>
        <w:br/>
        <w:br/>
        <w:t>Här har talats om det upprörande mordet på kejsarinnan av Österrike. Detta brott begicks ju på schweizisk botten, och mördaren blev dömd enligt schweizisk lag till det högsta straff, som lagen medgav. Det fanns ju inte dödsstraff i den kanton, där mordet begicks, utan mördaren dömdes till inspärrning för livstiden under de strängast möjliga förhållanden — enligt tidningsnotiser lär han ju nu också ha blivit vansinnig på grund av denna behandling. Jag förstår emellertid inte, vad den saken alls har med utlämningsfrågan att göra.</w:t>
        <w:br/>
        <w:br/>
        <w:t>Herr Edéns huvudargument mot mig tycktes vara, att man i allmänhet visst håller på asylrätten, men här gäller det bara en liten grupp personer, i fråga om vilken det skall stiftas särskild lag. Ja, naturligtvis, här är det bara om dem vi diskutera, om det undantaget från den allmänna regeln, att såsom politiskt brott skall i intet fall anses just förbrytelse, där de politiska synpunkterna efter herrarnes eget erkännande spela ofantligt mycket in! Man bryter sålunda sönder den allmänna regeln, och man gör det av skäl, som ändå, hur man än vill försköna saken, ytterst bottna i det betraktelsesätt, som herr Petersson i Lidingö i sitt anförande gjorde gällande, då han pekade på, att man får lov ibland att böja sig för vissa framställningar och kan icke göra anspråk på att vara så rakryggad. Det är detta, som jag velat konstatera gentemot herr Edén, vars framställning på intet sätt synes mig vara övertygande. Ty nog vet jag lika väl som han, att diskussionen här endast rör sig om denna grupp. Det är om den vi diskutera, det är icke fråga om de andra.</w:t>
      </w:r>
    </w:p>
    <w:p>
      <w:pPr>
        <w:pStyle w:val="Heading2"/>
      </w:pPr>
      <w:r>
        <w:t>7. Carl Lindhagen (Socialdemokraterna, man)</w:t>
      </w:r>
    </w:p>
    <w:p>
      <w:r>
        <w:rPr>
          <w:b w:val="0"/>
        </w:rPr>
        <w:t>Blott ett par ord. Jag håller också före, att man skall låta övertyga sig av sakskäl, men vad som inom politiken förefaller mig så underligt, är, att dessa övertygelser alltid komma att anläggas partivis och icke efter individernas egen uppfattning, såsom också denna omröstning, vi nu gå till, säkerligen kommer att utvisa.</w:t>
        <w:br/>
        <w:br/>
        <w:t xml:space="preserve">Herr Edén talade om, att det var en stor skillnad på en krönt drottning och en presidents </w:t>
      </w:r>
      <w:r>
        <w:rPr>
          <w:b/>
        </w:rPr>
        <w:t>fru²</w:t>
      </w:r>
      <w:r>
        <w:rPr>
          <w:b w:val="0"/>
        </w:rPr>
        <w:t>, ty de krönta drottningarna måste mera framträda och därför bli de mera utsatta för attentat; men tänk, herr Edén, om man nu toge bort denna attentatsklausul, så skulle detta kanske verka därhän, att de krönta drottningarna hölle sig hemma och icke framträdde — och då bleve det precis såsom jag vill ha det.</w:t>
        <w:br/>
        <w:br/>
        <w:t>Grundas framställning om utlämning annorledes än å fällande utslag eller sådant beslut, som föregåtts av förundersökning inför domstol eller undersökningsdomare, och bestrider den, vilkens utlämnande begäres, att han gjort sig skyldig till det uppgivna brottet, må ej utlämningen beviljas, med mindre tillika visas, att sannolika skäl föreligga till misstanke att han är skyldig till detsamma. Dock må efter överenskommelse med främmande stat och under förutsättning av ömsesidighet utlämning till den stat ske jämväl där ej bevisning, som nu sagts, blivit förebragt.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