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1248</w:t>
      </w:r>
    </w:p>
    <w:p>
      <w:r>
        <w:rPr>
          <w:b/>
        </w:rPr>
        <w:t xml:space="preserve">Datum: </w:t>
      </w:r>
      <w:r>
        <w:t>1913-04-26</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Cornelius Olsson (Lantmannapartiet, man)</w:t>
      </w:r>
    </w:p>
    <w:p>
      <w:r>
        <w:rPr>
          <w:b w:val="0"/>
        </w:rPr>
        <w:t>Herr talman! Då jag deltagit i utskottets behandling av detta ärende, vill jag säga några få ord. Utskottet har varit enigt om att avstyrka motionen, men nu ha utskottets ledamöter fått ett rätt klent betyg av herr Igel, för att de varit så eniga; litet var har fått sina snärtar, och naturligtvis framstår jag som den störste affälling, då jag tillåtit mig att reservera mig mot utskottets motivering. Nu är det ju så, att då det gäller att avgöra sin ståndpunkt till en sådan motion som den föreliggande, har ju en medlem av den svenska kyrkan att i första rummet göra sig denna fråga: skulle ett bifall till motionärernas förslag lända kyrkan till gagn eller skada?</w:t>
        <w:br/>
        <w:br/>
        <w:t>Motionären säger, att det torde vara i prästerskapets och kyrkans eget intresse, att motionen bifalles. Men det kan aldrig</w:t>
        <w:br/>
        <w:br/>
        <w:t xml:space="preserve">vara i kyrkans intresse att störa ordningen inom densamma och Angående att delvis upphäva någon av </w:t>
      </w:r>
      <w:r>
        <w:rPr>
          <w:b/>
        </w:rPr>
        <w:t>hennes²</w:t>
      </w:r>
      <w:r>
        <w:rPr>
          <w:b w:val="0"/>
        </w:rPr>
        <w:t xml:space="preserve"> institutioner. Vad den be- RA gärda dopanteckningen beträffar, så påpekar utskottet i sitt utlekmannadop, låtande, att erfarenheten givit vid handen, att en sådan dopan- — (Forts) teckning lett till en väsentlig stegring av antalet lekmannadop.</w:t>
        <w:br/>
        <w:br/>
        <w:t>Då kyrkan anförtrott förvaltandet av dopsakramentet, utom i</w:t>
        <w:br/>
        <w:br/>
        <w:t>nödfall, till kyrkans prästerskap, så är ju ett sådant förhållande</w:t>
        <w:br/>
        <w:br/>
        <w:t>som föranleder en stegring i antalet lekmannadop ej enligt med</w:t>
        <w:br/>
        <w:br/>
        <w:t>kyrkans ordning utan tvärtom ett undergrävande av densamma,</w:t>
        <w:br/>
        <w:br/>
        <w:t>som måste vara till skada för kyrkan. Kyrkans prästerskap</w:t>
        <w:br/>
        <w:br/>
        <w:t>skulle i föreliggande fall göras övertlödigt och flera steg i samma</w:t>
        <w:br/>
        <w:br/>
        <w:t>riktning leda till dess avskaffande och därmed till ett avskaffande</w:t>
        <w:br/>
        <w:br/>
        <w:t>Man kan icke skilja den svenska kyrkans prästerskap från sina åligganden inom den svenska kyrkan utan att göra denna till något annat än den är, vilket vore detsamma som att avskaffa den. Ett steg i denna riktning vore det ju att ålägga den svenska kyrkans prästerskap att verkställa undersökning av dophandling, förrättad av lekman utan nödfall, och fälla utslag om densammas riktighet, under det att detta prästerskap självt förhindras att utöva den åt detsamma anbefallda ämbetsgärningen. Sådana bestämmelser kunna icke vara annat än till skada för vår svenska kyrka.</w:t>
        <w:br/>
        <w:br/>
        <w:t>Då motionärerna förmoda, att denna undersökning skulle kunna få till resultat, att dopet »skett på ett sant kristligt sätt och i överensstämmelse med Herrens instiftelse», så vågar jag påpeka, att det ej skett enligt vår svenska kyrkas ordning, och att det ej torde vara »ett sant kristligt sätt och enligt Instiftarens avsikt» att utan nödfall bryta mot kyrkans ordning. Dessutom vill jag ock påpeka svårigheten, i många fall omöjligheten, för en samvetsgrann prästman att, eburu icke närvarande vid dophandlingen, avgiva intyg om tillvägagångssättet därvid.</w:t>
        <w:br/>
        <w:br/>
        <w:t>Nu påpekar herr Helger, att prästmännen få i många fall mottaga uppgifter och avgiva intyg om saker som de icke ha mera kännedom om eller varit mera med om, än ett sådant lekmannadop, varom här är frågan, men jag vill påstå, att det blir en stor skillnad på att af andra mottaga uppgifter om rent av världsliga ting än om dessa saker, som egentligen på det. allra närmaste höra prästen till och äro av andlig beskaffenhet. Jag vill såsom en ytterligare belysning av saken påpeka, att enligt motionärens förslag förvaltningen av dopets sakrament icke inskränkes till föreståndarna för något visst kyrkosamfund, som skulle hava detta samfunds uppdrag därtill, utan lägges i händerna på vilken lekman som helst. Det låter lätt tänka sig, att i kyrkliga saker fullkomligt indifferenta personer och sådana, åt vilka man ej ens skulle vilja anförtro aldrig så litet av materiellt värde, ja, i socialt hänseende ärelösa personer, skulle taga sig före</w:t>
        <w:br/>
        <w:br/>
        <w:t>att göra sig till förvaltare av detta heliga sakrament. Det finnes inga villkor, där talas endast om att »lekman» skulle förrätta dopet. Till dopvittnen kunde de taga likasinnade, och om än dopformuläret ej påvisade någon oegentlighet, hur kunde en vid handlingen ej närvarande prästman konstatera, att dopet »skett på ett sant kristligt sätt och i överensstämmelse med Herrens instiftelse»? Och om han icke kunde göra detta, till vilka svåra uppträden och till vilken ovilja skulle ej det leda!</w:t>
        <w:br/>
        <w:br/>
        <w:t>Jag vädjar till det svenska folkets representanter att i denna sak ej svika vår svenska kyrka. Herr talman, jag yrkar, på grund av vad jag nu och i min reservation anfört, avslag på motionen.</w:t>
      </w:r>
    </w:p>
    <w:p>
      <w:pPr>
        <w:pStyle w:val="Heading2"/>
      </w:pPr>
      <w:r>
        <w:t>2. Herman Carlson (Liberala samlingspartiet, man)</w:t>
      </w:r>
    </w:p>
    <w:p>
      <w:r>
        <w:rPr>
          <w:b w:val="0"/>
        </w:rPr>
        <w:t>Herr talman, mina herrar! Herr Helger sade i sitt anförande, att vår motion egentligen är en liten del av den motion, som vid förlidet års riksdag förelåg till behandling här, men jag får lov att säga, att så ej är förhållandet. Vår motion är bra mycket äldre än den motion, söm förelåg vid sistlidet års riksdag och detta på grund av vad jag förut anfört, nämligen att den har förelegat vid flera kyrkomöten och där grundligt debatterats.</w:t>
        <w:br/>
        <w:br/>
        <w:t>Vidare säger herr Helger, att detta är ett myckert magert reformkrav. Ja, det är alldeles riktigt, herr Helger, men varför vill man då icke giva oss denna magra bit, varför vill man då icke gå oss till mötes ifråga om detta magra reformkrav? Men, herr Helger, det finnes de, som se helt annorlunda på denna fråga än herr Helger gör. Det påstås, att denna anteckningsformel skall vara resultatet av en fem dagars biskopskonferens här i Stockholm, och detta må väl visa, att det där icke ansågs vara något magert reformkrav.</w:t>
        <w:br/>
        <w:br/>
        <w:t>Även har detsamma ansetts såsom en sprängkil, den där skulle, som också den ärade reservanten framböll, förstöra hela statskyrkan och möjligen leda till statskyrkans och prästerskaps avskaffande, och jag vet icke vad allt man tror. Så man förstår, att det icke från detta håll betraktades såsom något magert reformkrav, men enligt vår mening innebär det, att man komme ifrån detta osäkerhetstillstånd, så att säga, och i stället finge frågan löst på ett mera tillfredsställande sätt. Om det blir beslutat, att prästerna skola anteckna »döpt av lekman» i stället för »icke av svenska kyrkan döpt», håller jag före, att prästerna måste omgående undersöka, huruvida dopet skett skriftenligt eller</w:t>
        <w:br/>
        <w:br/>
        <w:t>.icke. Men som det nu är, tror jag icke, att så sker, utan detta</w:t>
        <w:br/>
        <w:br/>
        <w:t>kan bli uppskjutet till långt fram i tiden, och det skulle ju kunna genom exempel påvisas många obehagligheter, som uppstått på grund av dylika uppskov.</w:t>
        <w:br/>
        <w:br/>
        <w:t>Det var endast det jag ville säga, och med anledning av, att herr Berg påstod, att detta egentligen icke skulle vara P. W:s</w:t>
        <w:br/>
        <w:br/>
        <w:t>önskan, så kan jag försäkra herr Berg, att yrkandet står i full Angdende överensstämmelse med lektor Waldenströrms önskan, så det beanteckning i höver icke herr Berg tvivla på. Om man dessutom något litet jär kobok dov tager hänsyn till lektor Waldenströms inlägg i de politiska dags- (Forts.) frågorna och till den sympati, som han därutinnan rönt, så tycker ” jag, att en stor del av dessa i denna kammare, som biträda hans åsikter i andra fall, även borde gå honom tillmötes i det här föreliggande. Jag ber emellertid, herr talman, att få vidhålla mitt yrkande om avslag å utskottets hemställan och bifall till motionen.</w:t>
        <w:br/>
        <w:br/>
        <w:t>Jag skall be att få tillägga, vad som i denna fråga anfördes i Första kammaren under debatten där av en framstående prästman. Han sade bland annat: »Jag medger, att det är abnormt — och i det stycket hade även reservanten rätt i sitt anförande — att den handling, som utföres av en lekman och om vilken både kyrkliga och frikyrkliga äro ense om att den kan anses för ett rätt kristligt dop, icke också skall antecknas såsom ett rätt kristligt dop. Det är vidare abnormt, att det finnes medborgare bär i landet, som i sina civila papper, flyttningsbetyg och äktenskapsbetyg och allt vad de heta, upptagas såsom icke döpta och icke ägande kristendomkunskap, under det de kunna vara både döpta och undervisade, låt vara att det skett inom en frikyrkoförsamling.» Det var kyrkoherde Stadener, som anförde detta i debatten.</w:t>
      </w:r>
    </w:p>
    <w:p>
      <w:pPr>
        <w:pStyle w:val="Heading2"/>
      </w:pPr>
      <w:r>
        <w:t>3. Carl Persson (Lantmanna- och borgarepartiet inom andrakammaren, man)</w:t>
      </w:r>
    </w:p>
    <w:p>
      <w:r>
        <w:rPr>
          <w:b w:val="0"/>
        </w:rPr>
        <w:t>Herr talman! Jag hade icke ämnat begära ordet i denna fråga, men det var mig icke möjligt att avhålla mig från att begagna min rätt att yttra några ord, och detta särskilt med anledning av vad den förste talaren, en av motionärerna, yttrade, då han så strängt ville göra denna fråga till en konservativ och en frisinnad fråga. Den synpunkten tycker jag icke man behöver åberopa här med anledning av utskottsbetänkandet, då detta ju är enigt för avslag. I detta utskott ha de konservativa ju icke mer än tre platser, och sålunda är det klart, att det icke går för sig att vindicera denna fråga till en konservativ fråga.</w:t>
        <w:br/>
        <w:br/>
        <w:t>Jag skall visst icke inlåta mig på dopets betydelse, huruvida det har större värde, ifall lekman eller ifall prästman förrättar det. Ty jag tror att på detta område motionärerna och jag ha nästan lika goda insikter, och jag anser, att det vore bäst, att både motionärerna och jag lade bort att resonera om den saken. I alla foll så får man väl dock erkänna, att denna fråga väl närmast är en regleringsfråga, en ordningsfråga. Många av herrarna minnas nog, hurusom excellensen Staaff 1906, då det förelåg en kungl. proposition, för vilken han både då och sedan fick uppbära förebråelser, till förmån för denna proposition yttrade, att svenska folket är ett ordningsälskande folk, och att han</w:t>
        <w:br/>
        <w:br/>
        <w:t>därför hade hopp om att det framlagda förslaget skulle av Riksdagen godkännas, vilket också skedde. På samma sätt är det med denna fråga, den är en ordningstråga, en så att säga regleringsfråga; och tänker man på huru denna anteckning är formulerad, som herrarna här tvista om och begära ändring i, kan någon då säga, att den innehåller något osant eller orätt, denna anteckning »icke av svenska kyrkan döpt»? Det lär väl icke vara något osant, utan renaste sanningen. När nu prästerna och, som jag tror, största delen av svenska folket, som är bokförd i kyrkoböckerna, icke hava något emot denna formel, då tyckes det mig, som om motionärerna och den mindre del av svenska folket, som står bakom dem, icke borde vara så missnöjda med denna sanningsenliga anteckning. Så vill jag se saken.</w:t>
        <w:br/>
        <w:br/>
        <w:t>Nu säges det, att de, som stå i spetsen för de frikyrklige, arbeta på att få denna förändring, och det kan ju vara en sanning; men då här åberopats de frärnosta männen inom rörelsen, så ber jag att få säga, att, om man läst de tidningsartiklar, som 1 vinter förekommit i denna fråga, man nog får låta något pruta med sig i den punkten med hänsyn till att den, som står såsom den främste mannen på detta område, är så positiv i sina krav. Vad han vill är, såsom han själv påstår, att alla, som tillhöra det förbund, som han står i spetsen för, bara skola gå på och helt enkelt förrätta de prästerliga sysslorna. Vad han arbetar för är, att opinionen bland hans anhängare skall bli sådan, att de icke anlita prästerna, utan själva utföra prästernas sysslor. Jag har i min hand ett urklipp ur en tidning, varav man kan finna, att det, varom striden här står, nämligen uttrycken »icke av svenska kyrkan döpt» eller »döpt av lekman» icke har någon betydelse, utan att det bara gäller att gå på och ingenting annat.</w:t>
        <w:br/>
        <w:br/>
        <w:t>Sedan säges i en annan artikel, författad av en som jag tror står ledaren nära, att sedan denna formel tillkom, det så kallade frikyrkliga dopet har så gott som upphört, och att detta är orsaken till att man nu arbetar för att få anteckningsformeln omlagd. Med anledning därav vill jag säga, att någon olycka har väl icke härigenom hänt. Åtminstone kan jag icke tro, att detta inneburit någon olycka för barnen, ty barnen rå väl icke för det, utan det är föräldrarna, som icke haft nog mod att upphöra med att föra sina barn till kyrkans präster för att få dem döpta. Det är alltså föräldrarna, på vilka ran kan lägga skulden, men barnen tror jag i alla händelser icke hava förlorat något på att de blivit döpta inom svenska statskyrkan.</w:t>
        <w:br/>
        <w:br/>
        <w:t>När nu det frikyrkliga dopet på detta sätt upphört, så söker man att få det i gång igen genom att skapa en opinion för detsamma, och ur den synpunkten vore det nog bättre att få denna nya formel, ty då vore allt klart. Men det synes mig dock, när man sålunda sökt få fram den nya formeln och sökt därtill beveka dem, som fortfarande tillhöra svenska kyrkan och ej vänt</w:t>
        <w:br/>
        <w:br/>
      </w:r>
      <w:r>
        <w:rPr>
          <w:b/>
        </w:rPr>
        <w:t>henne²</w:t>
      </w:r>
      <w:r>
        <w:rPr>
          <w:b w:val="0"/>
        </w:rPr>
        <w:t xml:space="preserve"> ryggen, som om man för att få den gamla formeln förändrad använt ett sådant språk, att det kan ifrågasättas, huruvida det språket är värdigt en sådan sak som denna. Mig förefaller det, att detta språk icke är lämpligt.</w:t>
        <w:br/>
        <w:br/>
        <w:t>Det språket finnes också i en artikel, som är skriven av den av mig nyss antydde mannen inom samfundet — jag behöver väl icke säga namnet, ty herrarne känna nog igen det, när jag uppläst en bit av artikeln. Däri säges beträffande denna sak: »Något tokigare än den av biskoparne föreslagna anteckningsformeln kan väl ingen dödlig hitta på.&gt; Alltså, om en sanning, som är inskriven 1 församlingsböckerna, säger man, att det icke kan finnas något tokigare. Inte är det ett kristligt uttalande, då hela den övriga delen av svenska folket, den nämligen som tillhör statskyrkan, icke är emot prästerskapet i denna del; ty nog finnes det inom den kåren en ofantlig mängd aktningsvärda medlemmar, för vilka jag tror, att man vill böja sig med både vördnad och tacksamhet, därför att de sköta sin syssla på ett utmärkt sätt.</w:t>
        <w:br/>
        <w:br/>
        <w:t>Sedan heter det i fortsättningen sålunda: &gt;»I och för sig må därför anteckningsformeln vara huru vidunderlig som helst, den må vara en hieroglyf, ett ord, svenskt eller utländskt, begripligt eller obegripligt, det betyder ingenting, när k. förordningen därom säger, att det betyder döpt av lekman. Och i nu gällande förordning står: Barn döpt av lekman skall antecknas så etc. Om det då i anteckningskolumnen enligt förordningen står: »Woluptas eller Bonapart, eller Macedonien eller icke döpt av svenska kyrkan eller döpt av lekman, har det ingen den ringaste betydelse, när förordningen säger, att barn döpt av lekman skall antecknas med den formeln. Ty då betyder anteckningen, huru oformlig den än är: Döpt av lekman». Ja, när sådant säges, då är ju saken klar, då ser man, att det bara gäller att bearbeta opinionen så, att folk låter bli att föra sina barn till prästen.</w:t>
        <w:br/>
        <w:br/>
        <w:t>Jag åberopar det yttrande, som herr Hallén hade, nämligen att, för den händelse Riksdagen godkänner den kungl. proposition, som är framlagd beträffande seminarieundervisningen, då lär väl den allra största delen av olägenheterna vara avhjälpt. Godkänner Riksdagen den propositionen, och då behöver man därefter icke stå här och tvista så mycket om sådana här saker.</w:t>
        <w:br/>
        <w:br/>
        <w:t>Men jag upprepar, att motionärerna icke kunna kasta skulden på de konservativa, och detta så mycket mindre, som ju pastor Hallén icke av motionärerna kan beskyllas för att tillhöra de konservativa; jag tror åtminstone icke det. Men han enar sig med utskottet, och jag kommer också helt visst att ena mig med honom och instämma i hans yrkande.</w:t>
        <w:br/>
        <w:br/>
        <w:t>Nu har det sagts av en annan motionär, att det är förvånande, att man skall motsätta sig detta. Nej, det är icke alls</w:t>
        <w:br/>
        <w:br/>
        <w:t>förvånande; ty jag säger om igen, att detta är väl ändå bara en regleringsfråga, och då är det väl alldeles naturligt, att sådan som svenska kyrkans medlemmar vilja hava anteckningen, sådan skall den också vara; och de böra väl ändå hava bättre vitsord än de andra, som icke vilja gilla detta samfund, svenska kyrkan. Det tycks åtminstone så.</w:t>
        <w:br/>
        <w:br/>
        <w:t>Jag skall bara taga ett exempel. De frisinnade och de frikyrkliga kunna väl icke nämna en enda association, som reder sig utan regler, och ganska vidlyftiga regler t. o. m. Går jag sålunda till den stora frikyrkliga församlingen här i Stockholm, finner jag, att dess regler innehålla icke minäåre än 20 rätt omfattande paragrafer, och sedan hava underföreningarna stadgar, som innehålla 15 paragrafer. Jag har läst dessa. Det är klart, att de äro mycket väl sammanfogade, ty de äro ju behövliga, för att man skall kunna reda upp denna stora association. Om nu de, som gilla lekmannaverksamheten — jag tillhör dem, som gilla den, det får jag öppet erkänna, och tar dem i försvar även i min hemort — men om jag, som icke anslutit mig till dem, och icke står antecknad såsom tillhörande dem, kommer och säger: »var snäll och ändra den eller den paragrafen, ty jag tycker icke om den», så är det första de säga: »Ja, var god och skriv in er, så få vi resonera om er åsikt; men eljest har ni icke något att göra med våra stadgar». Detta är alldeles rätt. Jag anser därför, att det är väl mycket, att motionärerna komma och helt kort och gott säga till prästerna: »var så god och böj er för oss; skriv som vi vilja, skriv 'döpt av lekman”. Det tycker jag icke är rätt, det må jag säga, och då herrarna yttrat sig på ett sådant sätt härom och fällt så hårda och skarpa omdömen om de konservativa — till vilka ni väl räkna mig också — så har jag icke kunnat underlåta att begära ordet och uttala mig som jag gjort.</w:t>
        <w:br/>
        <w:br/>
        <w:t>Jag ber nu att till sist få säga, att det förefaller mig, som om den goda verksamhet, som den frikyrkliga rörelsen utövar i vårt land, vore på avvägar, ledsamt nog, som om den drunknade i regler och glömde bort vad som varit och borde vara det huvudsakliga i denna verksamhet.</w:t>
        <w:br/>
        <w:br/>
        <w:t>Jag yrkar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1248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