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223</w:t>
      </w:r>
    </w:p>
    <w:p>
      <w:r>
        <w:rPr>
          <w:b/>
        </w:rPr>
        <w:t xml:space="preserve">Datum: </w:t>
      </w:r>
      <w:r>
        <w:t>1915-03-10</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Ivar Afzelius (Första kammarens minoritetsparti, man)</w:t>
      </w:r>
    </w:p>
    <w:p>
      <w:r>
        <w:rPr>
          <w:b w:val="0"/>
        </w:rPr>
        <w:t>Jag får för kammaren tillkännagiva, att efter överläggning inom talmanskonferensen angående riksdagsarbetet närmast före och efter påsk, blivit bestämt, att kamrarnas sista arbetsplenum före påsk hålles tisdagen den 23 : och, om så erfordras, onsdagen den 24 i denna månad, att därefter</w:t>
        <w:br/>
        <w:br/>
        <w:t xml:space="preserve">tär åt barn till Konungen med begäran om utredning och förslag i fråga om untill ensamma derstöd utan fattigvårds karaktär åt barn till ensamma </w:t>
      </w:r>
      <w:r>
        <w:rPr>
          <w:b/>
        </w:rPr>
        <w:t>mödrar²</w:t>
      </w:r>
      <w:r>
        <w:rPr>
          <w:b w:val="0"/>
        </w:rPr>
        <w:t>.</w:t>
      </w:r>
    </w:p>
    <w:p>
      <w:pPr>
        <w:pStyle w:val="Heading2"/>
      </w:pPr>
      <w:r>
        <w:t>2. Helge Bäckström (Socialdemokraterna, man)</w:t>
      </w:r>
    </w:p>
    <w:p>
      <w:r>
        <w:rPr>
          <w:b w:val="0"/>
        </w:rPr>
        <w:t xml:space="preserve">Herr talman! Efter de upplysningar utskottet lämnat om arbetet i fattigvårdskommittén och lagberedningen, skall jag icke framställa yrkande om bifall till motionen. Naturligtvis skulle jag gärna sett, att kammaren genom bifall till motionen gjort ett sympatiuttalande i dess syfte och därmed givit ett direktiv åt fattigvårdskommitténs och lagberedningens arbete. Men jag har en levande förtröstan på rättfärdigheten av de synpunkter motionen förfäktar, och jag har därför ingen fruktan att överlämna de ensamma </w:t>
      </w:r>
      <w:r>
        <w:rPr>
          <w:b/>
        </w:rPr>
        <w:t>mödrarnas²</w:t>
      </w:r>
      <w:r>
        <w:rPr>
          <w:b w:val="0"/>
        </w:rPr>
        <w:t xml:space="preserve"> och deras barns sak till en fullt obunden utredning. Jag stärkes i denna min uppfattning av de talrika sympatiuttalanden, som varit synliga i pressorgan av olika färger och som jag hört av riksdagskamrater från olika läger, och sist men icke minst av den välvilliga motivering, varmed utskottet beledsagat sitt avslagsyrkande.</w:t>
        <w:br/>
        <w:br/>
        <w:t>Av dessa skäl har jag, herr talman, intet yrkande.</w:t>
      </w:r>
    </w:p>
    <w:p>
      <w:pPr>
        <w:pStyle w:val="Heading2"/>
      </w:pPr>
      <w:r>
        <w:t>3. Carl von Mentzer (–, man)</w:t>
      </w:r>
    </w:p>
    <w:p>
      <w:r>
        <w:rPr>
          <w:b w:val="0"/>
        </w:rPr>
        <w:t>Den siste ärade talaren framhöll, att utskottet visserligen hemställt, att den framlagda motionen icke måtte föranleda någon första kammarens åtgärd, men gjort det med en delvis välvillig motivering. Så vitt jag kunnat läsa motiveringen, har den varit synnerligen välvillig, och då jag icke kan instämma i denna motivering, har jag känt det som en plikt att taga till orda. |</w:t>
        <w:br/>
        <w:br/>
        <w:t>Motionärerna ha i sin motion utgått från vissa stora sanningar. Så ha de i första hand framhållit den svåra ställning,</w:t>
        <w:br/>
        <w:br/>
        <w:t xml:space="preserve">som änkor hava, och den i sammanhang därmed stående rätt Om understöd som de ha att fordra särskilt understöd i sin betryckta ställa, Sherigr ning. Så ha vidare motionärerna framhållit, att det för när- "a Hu bur varande råder en alltför stor slapphet i förhållande till barnatill ensamma fäder och deras skyldighet att tillgodose sina barn. Slutligen </w:t>
      </w:r>
      <w:r>
        <w:rPr>
          <w:b/>
        </w:rPr>
        <w:t>mödrar²</w:t>
      </w:r>
      <w:r>
        <w:rPr>
          <w:b w:val="0"/>
        </w:rPr>
        <w:t>. ha de utgått från den allmänna sanningen, att barmhärtighet (Forts) bör visas mot dem, som äro nödställda och i synnerhet mot dem,</w:t>
        <w:br/>
        <w:br/>
        <w:t>som icke kunna försvara sig själva. Men på samma gång som motionärerna ha utgått från dessa goda sanningar, ha de ock</w:t>
        <w:br/>
        <w:br/>
        <w:t>efter mitt förmenande gjort en del märkliga inlägg, som jag</w:t>
        <w:br/>
        <w:br/>
        <w:t>icke kan godkänna. När de hava påvisat, att änkor äro berätti-</w:t>
        <w:br/>
        <w:br/>
        <w:t>gade till understöd, så äro de färdiga att i en hastig vändnine</w:t>
        <w:br/>
        <w:br/>
        <w:t>göra den slutsatsen, att precis samma anledning till hjälp och</w:t>
        <w:br/>
        <w:br/>
        <w:t xml:space="preserve">skydd, som finnes för dessa änkor, förefinnes även för </w:t>
      </w:r>
      <w:r>
        <w:rPr>
          <w:b/>
        </w:rPr>
        <w:t>mödrar²</w:t>
      </w:r>
      <w:r>
        <w:rPr>
          <w:b w:val="0"/>
        </w:rPr>
        <w:br/>
        <w:br/>
        <w:t xml:space="preserve">till barn, födda utom äktenskapet, eller sådana, vilkas fäder övergivit </w:t>
      </w:r>
      <w:r>
        <w:rPr>
          <w:b/>
        </w:rPr>
        <w:t>moder²</w:t>
      </w:r>
      <w:r>
        <w:rPr>
          <w:b w:val="0"/>
        </w:rPr>
        <w:t xml:space="preserve"> och barn. Men när motionärerna haft syn för</w:t>
        <w:br/>
        <w:br/>
        <w:t>den slapphet, som råder i förhållande till de barnafäder, som</w:t>
        <w:br/>
        <w:br/>
        <w:t>hava barn utom äktenskapet, ha de på samma gång själva till-</w:t>
        <w:br/>
        <w:br/>
        <w:t>låtit sig, såsom det synes, en annan slapphet, gående åt rakt</w:t>
        <w:br/>
        <w:br/>
        <w:t xml:space="preserve">motsatt håll, nämligen då de ansett, att </w:t>
      </w:r>
      <w:r>
        <w:rPr>
          <w:b/>
        </w:rPr>
        <w:t>mödrarna²</w:t>
      </w:r>
      <w:r>
        <w:rPr>
          <w:b w:val="0"/>
        </w:rPr>
        <w:t xml:space="preserve"> till de oäkta</w:t>
        <w:br/>
        <w:br/>
        <w:t>barnen endast skulle vara »olyckliga» människor, som icke för-</w:t>
        <w:br/>
        <w:br/>
        <w:t>brutit sig och som därför uteslutande vore berättigade till un-</w:t>
        <w:br/>
        <w:br/>
        <w:t>derstöd. Och i fråga om barmhärtigheten mot barnen, som ju</w:t>
        <w:br/>
        <w:br/>
        <w:t>icke själva kunna försvara sig, kan jag icke underlåta att taga</w:t>
        <w:br/>
        <w:br/>
        <w:t>intryck av, att motionärerna hava kommit till en barmhärtig-</w:t>
        <w:br/>
        <w:br/>
        <w:t>het, vilken icke kan betecknas, såsom utskottet gjort, som en</w:t>
        <w:br/>
        <w:br/>
        <w:t>sann humanitet utan som en falsk humanitet. Ur denna motsätt-</w:t>
        <w:br/>
        <w:br/>
        <w:t>ning av, som det synes mig, sanna och oriktiga påståenden hava motionärerna kommit till den slutsatsen, att staten bör övertaga</w:t>
        <w:br/>
        <w:br/>
        <w:t>en mycket vittgående skyldighet mot dessa barn, som sakna fadersvård, och såsom föredöme för en lagstiftning i detta fall</w:t>
        <w:br/>
        <w:br/>
        <w:t>ha de uppställt den danska lagstiftningen. Jag antager, att herrarna hava sett, hur pass vittgående den är. Det talas på</w:t>
        <w:br/>
        <w:br/>
        <w:t>sjunde sidan i motionen om, att understödet utgår med följande fastställda belopp:</w:t>
        <w:br/>
        <w:br/>
        <w:t>Skall man så överflytta den skyldighet, som för närvarande åligger det allmänna, att tillgodose verkligt skriande behov, från de enskilda kommunerna till staten, så innebär detta icke endast en nog så betänklig sida av saken, nämligen den, att denna skyldighet, som för närvarande vilar av naturliga skäl jämförelsevis tungt på huvudstaden, kanske städerna i övrigt, nu skall överflyttas från dessa på staten. Men det är icke nog med detta, utan denna lagstiftning har en än betänkligare sida, och det är efter min tanke det, att ifall denna skyldighet sålunda överflyttades på staten, så bleve den allmänna tillsynen över,</w:t>
        <w:br/>
        <w:br/>
        <w:t>utan fattigvårds karak-</w:t>
        <w:br/>
        <w:br/>
        <w:t>uppkomma, betydligt slappare. Har varje kommun för sig en bestämd skyldighet i detta avseende, så hava kommunerna större</w:t>
        <w:br/>
        <w:br/>
        <w:t>till ensamma iNtresse att tillse, att det sedliga tillståndet inom kommunerna</w:t>
        <w:br/>
        <w:br/>
        <w:t>hålles uppe.</w:t>
        <w:br/>
        <w:br/>
        <w:t>Utskottet har emellertid sagt, att på denna väg skulle här åsyftas, djupast sett, en strävan från samhällets sida att till egen båtnad uppfostra ett livsdugligare släkte. Jag vet icke, om det finns någon statistik i detta avseende, men så vitt det icke finnes någon, tror jag, att det är önskligt, att en sådan kommer fram, ty jag tror, att den allmänna uppfattningen är, att det är något svagt över dessa olyckliga barn. Att endast vilja främja tillkomsten av oäkta födda är icke att i stort sett arbeta för åstadkommandet av ett livsdugligare släkte. Jag har, tror jag, mer än en gäng i denna kammare varit i tillfälle att uttala såsom min bestämda övertygelse, att en av de väsentligaste grunderna för en god stat, som vi ju alla vilja arbeta för, är åstadkommandet av goda hem. Men det är också min övertygelse, att denna motion icke arbetar i riktning av att hjälpa till alstrandet av goda hem.</w:t>
        <w:br/>
        <w:br/>
        <w:t>Jag har naturligtvis icke någon invändning mot den kläm, vartill utskottet kommit, men har jag för min del icke kunnat låta utskottets uttalande i övrigt stå oemotsagt.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