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1323</w:t>
      </w:r>
    </w:p>
    <w:p>
      <w:r>
        <w:rPr>
          <w:b/>
        </w:rPr>
        <w:t xml:space="preserve">Datum: </w:t>
      </w:r>
      <w:r>
        <w:t>1916-04-12</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Axel Sterne (Socialdemokraterna, man)</w:t>
      </w:r>
    </w:p>
    <w:p>
      <w:r>
        <w:rPr>
          <w:b w:val="0"/>
        </w:rPr>
        <w:t>Herr talman, mina herrar! Då jag vid behandlingen av herr Lindhagens motion nr 237 ej kunnat ansluta mig till konstitutionsutskottets korta avstyrkande av motionen och ej heller ansett den lilla grundlagsändring, som av herr Edén m. fl. reservationsvis föreslagits, vara ett tillfredsställande svar på den tankegång, som i herr Lindhagens motion framfördes, har jag nödgats att framlägga ett särskilt skrivelseyrkande, vilket jag ock i korthet vill motivera. |</w:t>
        <w:br/>
        <w:br/>
        <w:t>Till en början vill jag dock förutskicka, att den anmärkning, som förut mött liknande framställningar och som säkerligen kommer ati möta även vid detta tillfälle, att ämnet för dessa grundlagsändringar är av så ringa innebörd och har så föga av aktualitet över sig, att man helst inte vill behandla dem och än mindre gå att bifalla dem, naturligtvis har ett visst fog för sig i så måtto, att dylika reformer inte alls sätta några synliga spår efter sig i vårt konstitutionella styrelsesätt. Det låter natur-</w:t>
        <w:br/>
        <w:br/>
        <w:t>ligtvis också säga sig, att för mig och för alla dem, vilka i den republikanska statsformen se det bästa uttrycket för folkligt självstyre eller det bästa hittills kända organet för folkviljans utövande ända till det högsta statsstyret, bör det ha ringa eller intet intresse att genom småreformer söka demokratisera kungamakten. Ehuru sålunda dessa föreliggande små reformförsök icke alls beröra det principiella i uppfattningarna rörande den bästa statsformen samt även i övrigt ha en ringa betydelse, kan jag dock inte anse dessa invändningar så bärande, att desamma skulle förhindra mig att ur rent allmäntmänskliga eller jämlikhetssynpunkter till huvudsaklig del ställa mig på motionärens sida, när han nu gjort dessa framställningar.</w:t>
        <w:br/>
        <w:br/>
        <w:t xml:space="preserve">Motionären har i föreliggande motion tagit upp till särskådande den särställning, som våra grundlagar föreskriva konungahusets medlemmar. Denna består i förbudet för prinsar och </w:t>
      </w:r>
      <w:r>
        <w:rPr>
          <w:b/>
        </w:rPr>
        <w:t>prinsessor³</w:t>
      </w:r>
      <w:r>
        <w:rPr>
          <w:b w:val="0"/>
        </w:rPr>
        <w:t xml:space="preserve"> attl utan konungens samtycke gifta sig, förbudet för dem att resa utrikes utan samma tillstånd samt förbudet för prinsar att bekläda civilt ämbete. Därjämte finnes ett förbud, som icke upptagits i herr Lindhagens motion, nämligen angående religionsfriheten, och som jag sålunda har behövt endast i förbigående omnämna. Därjämte föreslås att Konungens rätt att tilldela prinsar titlar av hertigdömen eller furstendörmen må upphöra. Mot detta har konstitutionsutskottet uttalat sitt avslagsyrkande och det uteslutande på den grund, som anfördes redan av 1883 års konstitutionsutskott, då denna fråga motionsvis väcktes. Vad konstitutionsutskottet då yttrade inskränker sig till att man säger, att de antydda inskränkningarna voro »för statens ändamål tillkomna och vilade på en allmängiltig grundsats, i fråga varom någon närmare utredning icke erfordrades». Nu kan det hända, att man under äldre tider kunde säga, att dessa inskränkande bestämmelser rörande giftermålsrätten för medlemmar av konungahuset kunde ha något statsändamål att uppfylla, ehuru man ställer sig mycket tveksam inför vad som menas med en allmängiltig grundsats, varom någon närmare utredning icke erfordras. Emellertid, det är den ståndpunkten, som konstitutionsutskottet även i år ställer sig på, då det understryker, att dessa skäl äga giltighet även beträffande den nu föreliggande motionen.</w:t>
        <w:br/>
        <w:br/>
        <w:t>Denna ståndpunkt är dock icke så synnerligen stark. Men det var också ett annat skäl, som förelåg åren 1883 och 1886, när de då väckta motionerna i liknande riktning behandlades. Då anfördes, att frågan icke rätteligen kunde avgöras av svenska riksdagen ensam, ty man ansåg dessa ändringar hava ett visst samband med den norska grundloven och att motsvarande ändring sålunda samtidigt borde beslutas i norska stortinget. Särskilt ansågs frågan om arvsrätten till den norska kronan kunna kompliceras genom en ändring av bestämmelsen om prinsars giftermlåsrätt. Nu har arvsrätten till norska kronan bortfallit trots att icke dessa motioner biföllos på sin tid, och följaktligen finnes icke vidare det enda vägande skäl, som jag kan finna att man vid</w:t>
        <w:br/>
        <w:br/>
        <w:t>1883 och 1886 års riksdagar anfört. Det enda skälet mot förändringen har således enligt min mening bortfallit.</w:t>
        <w:br/>
        <w:br/>
        <w:t xml:space="preserve">Det kan också noteras den underligheten eller, om man så vill, dualismen uti att denna inskränkning ej gäller en regerande konung utan endast de övriga medlemmarna av konungahuset. Anledningen till att Konungen har formell rätt att ingå äktenskap även med inländsk </w:t>
      </w:r>
      <w:r>
        <w:rPr>
          <w:b/>
        </w:rPr>
        <w:t>kvinna¹</w:t>
      </w:r>
      <w:r>
        <w:rPr>
          <w:b w:val="0"/>
        </w:rPr>
        <w:t xml:space="preserve"> eller med vilken </w:t>
      </w:r>
      <w:r>
        <w:rPr>
          <w:b/>
        </w:rPr>
        <w:t>kvinna¹</w:t>
      </w:r>
      <w:r>
        <w:rPr>
          <w:b w:val="0"/>
        </w:rPr>
        <w:t xml:space="preserve"> som helst torde väl vara den, att man ej ansett sig kunna intaga någon dylik inskränkande bestämmelse i grundlagen för en person, som äger att allena styra riket och därför anses kunna styra även sig själv i sitt privata liv. Men inskränkningen i giftermålsrätten är alltså ej konsekvent genomförd i grundlagen.</w:t>
        <w:br/>
        <w:br/>
        <w:t>Det har av motionären anförts några skäl, varför han anser, att bestämmelserna i successionsordningen $$ 5 och 6 liksom även liknande bestämmelser iregeringsformen borde undergå förändring eller uteslutas, och han åberopar därvid bland annat det skäl, som jag tycker är det riktiga, nämligen det allmänmänskliga eller att det icke bör uppställas dylika skrankor i vår grundlag för några som helst medborgare och sålunda icke heller för dem, som tillhöra konungahuset. Motionären påminner om ett ganska märkligi diktamen, som konung Oscar II gjorde till statsrådsprotokollet år 1886 i sammanhang med frågan om appanage till hertigen av Gottland, vilket var av följande lydelse: »Mina Söners anspråk äro ej stora, med avseende på vad de vänta av andra. Endast på sig själva ställa de stora fordringar. Hittills hava de uppfyllt alla rimliga anspråk. De hava avlagt ej blott nöjaktiga utan särdeles berömvärda studentoch militärexamina samt tjänstgjort i underordnade militära grader. Men när mina Söner alltså underkastat sig prov och ansvar såsom andre unge svenske män, äga de då samma utsikter som dessa till en självständig ställning med avseende på utkomst och verksamhet? Ingalunda. Sveriges regeringsforms $$ 44 och 45, Norges grundlovs SS 21 och 36 samt Successionsordningens 8 5, inskränka deras medborgerliga frihet och rättigheter så i personligt som ekonomiskt hänseende; i politiskt äro de uteslutna från den enskilte män tillkommande rösträtt och valbarhet. Internationella hänsyn pålägga dem även vissa band. De få ej, utan att förlora sin lagstadgade arvsrätt, genom enskilte giftermål följa en möjligen uppkommande hjärtats böjelse. De få ej bekläda civila ämbeten, ej heller resa vart de vilja, även sedan de äro myndiga, och på senare tider har det varit brukligt att de för sin militärtjänst ej erhålla gottgörelse, i vad form som helst, oaktat de i sin tjänst äro utsatta för lagligt ansvar såsom andra.»</w:t>
        <w:br/>
        <w:br/>
        <w:t>Ja, ur denna kungadiktamen kan man utläsa den känsla, som man då hyste inom kungahuset självt, mot att den svenska grundlagen reser upp omkring det kungliga huset ett fängelsegaller, kanhända förgyllt, men i alla fall ett fängelsegaller. När denna fråga kommit upp, kan jag icke finna det annat än rimligt och riktigt, att man på denna punkt gör en förändring</w:t>
        <w:br/>
        <w:br/>
        <w:t>och ställer medlemmarna av kungahuset fullt lika med andra 4ng. prinsars</w:t>
        <w:br/>
        <w:br/>
        <w:t xml:space="preserve">svenska medborgare. Särskilt måste man säga, att, beträffande </w:t>
      </w:r>
      <w:r>
        <w:rPr>
          <w:b/>
        </w:rPr>
        <w:t>prinsessornas³</w:t>
      </w:r>
      <w:r>
        <w:rPr>
          <w:b w:val="0"/>
        </w:rPr>
        <w:t xml:space="preserve"> ställning, som ingalunda kan kompliceras av några; sorts arvsrättsförhållanden, förbudet för dem att gifta sig med svensk man utom det kungliga huset är en synnerligen underlig bestämmelse. Denna fråga kan måhända också ses ur annan synpunkt än jämställdhetens, och då skall man kanske finna, att de dynastiska förbindelserna kunna hava en ganska allvarlig innebörd. Det är nämligen icke uteslutet, som motionären försiktigt påpekar, att upprätthållandet av kungahusets äktenskapliga förbindelser med uteslutande utländska hov kan leda till en dynastipolitik, som vid vissa tillfällen kan medföra faror av betänkligt slag. Det har ju icke under de kritiska tider, som världen nu genomlever, saknats fall, som visa, att förbindelser mellan de olika regerande furstehusen nog åtskilligt komplicerat de mellanfolkliga förhållandena. Åtminstone låter det mycket väl teoretiskt tänka sig, att om det är så, att en </w:t>
      </w:r>
      <w:r>
        <w:rPr>
          <w:b/>
        </w:rPr>
        <w:t>prinsessa³</w:t>
      </w:r>
      <w:r>
        <w:rPr>
          <w:b w:val="0"/>
        </w:rPr>
        <w:t xml:space="preserve"> från ett främmande land stigit till rang av drottning i något annat land, och förhållandena mellan detta land och </w:t>
      </w:r>
      <w:r>
        <w:rPr>
          <w:b/>
        </w:rPr>
        <w:t>hennes²</w:t>
      </w:r>
      <w:r>
        <w:rPr>
          <w:b w:val="0"/>
        </w:rPr>
        <w:t xml:space="preserve"> eget rätta fädernesland kommit till en krisartad ställning, då, säger Jag, ligger det ju nära till hands att antaga, att denna högt uppsatta person skall känna sitt hjärtas strängar vibrera framför allt för det land, </w:t>
      </w:r>
      <w:r>
        <w:rPr>
          <w:b/>
        </w:rPr>
        <w:t>hon²</w:t>
      </w:r>
      <w:r>
        <w:rPr>
          <w:b w:val="0"/>
        </w:rPr>
        <w:t xml:space="preserve"> egentligen tillhör, och det kan ju tänkas, att på detta sätt dessa bestämmelser i vår grundlag liksom konfirmera och upprätthålla ett osäkerhetstillstånd :genom en en s. k. dynastipolitik.</w:t>
        <w:br/>
        <w:br/>
        <w:t>Jag skall härmed lämna denna särskilda punkt. Jag tror emellertid, såsom jag förut nämnt, att det starkaste skälet för en reform består däri att för kungahusets medlemmar införa samma bestämmelser, som gälla för vanliga svenska medborgare.</w:t>
        <w:br/>
        <w:br/>
        <w:t xml:space="preserve">Det finnes en annan punkt i herr Lindhagens motion, och den gäller förbud för prinsar och </w:t>
      </w:r>
      <w:r>
        <w:rPr>
          <w:b/>
        </w:rPr>
        <w:t>prinsessor³</w:t>
      </w:r>
      <w:r>
        <w:rPr>
          <w:b w:val="0"/>
        </w:rPr>
        <w:t xml:space="preserve"> mot utrikes resor utan Konungens samtycke. Jag har icke kunnat upptaga denna punkt i mitt förslag till skrivelse därför, att jag anser, att denna sak dels är synnerligen obetydlig, dels också kanske har sammanhang med apanagefrågorna och att det sålunda kanhända är rimligt, att en bestämmelse härom finnes kvar, så länge ännu prinsarna äro hänvisade till att mottaga sitt underhåll av den svenska staten. När man däremot kommer till den tredje punkten rörande rätten för Konungen satt tilldela prinsar titlar av hertigdömen och furstendömen — en fråga, som visserligen saknar reellt ekonomiskt underlag och som endast rör en tom titelfråga — så måste jag säga mig, att i full konsekvens med den tankegång, jag har utvecklat, och i full konsekvens med den ståndpunkt, konstitutionsutskottet i sitt följande betänkande intagit mot Konungens rätt att utdela adelstitlar, utskottet hade bort gå fram på en konsekvent linje och yrka, att även denna rätt skulle borttagas.</w:t>
        <w:br/>
        <w:br/>
        <w:t>Edén på en grundlagsändring, och jag står helt bakom den meningen, att en sådan grundlagsändring bör genomföras. Jag har emellertid icke kunnat bliva i tillfälle att ansluta mig till den reservationen, därför att i samma paragraf omnämnes också rätten att tilldela prinsar titlar av hertigdömen och furstendömen, som jag anser också bort utgå, och därför har jag tvungits att yrka på en skrivelse i enlighet med denna uppfattning. Nu är det sant, att motionären i sitt yrkande intagit förbud mot prinsars rätt att innehava militärt ämbete men däremot föreslagit, att de skulle äga rätt att innehava civilt sådant. Jag tror, att man knappast kan ställa sig på annan ståndpunkt än att antingen införa i grundlagen förbud för prinsar att innehava vare sig civilt eller militärt ämbete eller också gå på den linjen, att man stryker detta förbud fullständigt; och jag menar att de skäl, som i övriga avseenden tala för ett lossande på de band, som gälla kungahusets medlemmar, också tala för att även detta band borde lossas. Jag har därför ställt mig på den linje, jag gjort. Det är också möjligt, att genom ökade möjligheter för medlemmar av kungahuset att på alla de banor, som stå öppna för övriga svenska medborgare, komma fram och i mån av verklig duglighet göra karriär, den stundom framskymtande apanagefrågan kan erhålla en tillfredsställande lösning; man har ätminstone förr inom riksdagen hyst en sådan mening.</w:t>
        <w:br/>
        <w:br/>
        <w:t>De övriga inskränkningarna, som finnas, skulle fortfarande stå kvar, och som motionären icke vänt sig mot dem, har jag ingen anledning att gå in på dem. Jag skall därför endast be att med anledning av det sagda få yrka bifall till den av mig vid konstitutionsutskottets betänkande fogade reservationen, i vilken begäres, att riksdagen i skrivelse till Kungl. Maj:t måtte begära ändring i de vederbörande paragrafer, som beröra de av motionärens yrkanden, som jag nu uppehållit mig vid.</w:t>
      </w:r>
    </w:p>
    <w:p>
      <w:pPr>
        <w:pStyle w:val="Heading2"/>
      </w:pPr>
      <w:r>
        <w:t>2. Carl Hallendorff (Lantmanna- och borgarepartiet inom andrakammaren, man)</w:t>
      </w:r>
    </w:p>
    <w:p>
      <w:r>
        <w:rPr>
          <w:b w:val="0"/>
        </w:rPr>
        <w:t>Herr talman! Jag anhåller endast att få yrka bifall till utskottets hemställan.</w:t>
      </w:r>
    </w:p>
    <w:p>
      <w:pPr>
        <w:pStyle w:val="Heading2"/>
      </w:pPr>
      <w:r>
        <w:t>3. Nils Eden (Liberala riksdagspartiet, man)</w:t>
      </w:r>
    </w:p>
    <w:p>
      <w:r>
        <w:rPr>
          <w:b w:val="0"/>
        </w:rPr>
        <w:t xml:space="preserve">Herr talman! Som kammaren behagad2 finna, föreligger vid det nu föredragna utskottsutlåtandet även en reservation, som är avgiven av mig jämte ett par av mina kamrater i utskottet, och som stannar vid ett yrkande uteslutande i fråga om en av de paragrafer i regeringsformen, som herr Lindhagen berört i sin motion. Vi ha däremot icke kunnat ansluta oss till herr Lindhagens yrkande i vad detta avser ändring i de gällande bestämmelserna i successionsordningen angående prinsars och </w:t>
      </w:r>
      <w:r>
        <w:rPr>
          <w:b/>
        </w:rPr>
        <w:t>prinsessors³</w:t>
      </w:r>
      <w:r>
        <w:rPr>
          <w:b w:val="0"/>
        </w:rPr>
        <w:t xml:space="preserve"> giftermål och prinsars utrikes resor. I denna punkt tror jag icke, att det förhåller sig som motionären förmenar och såsom även den föregående ärade talaren gjorde gällande, nämligen att det skulle föreligga något verkligt och obestridligt intresse av att skapa en abstrakt jämlikhet mellan</w:t>
        <w:br/>
        <w:br/>
        <w:t>det kungliga husets medlemmar och andra medborgare. Jag tror Ang. prinsars tvärtom att de bestämmelser, som i sagda avseenden finnas, äro och prinsesgrundade på en verkligen allvarligt fattad tanke, nämligen den, pmnliga fet att man bör skapa garantier mot att genom giftermålsförbindelgiftermål ser mellan det kungliga huset och enskilda svenska familjer såmm. dana privata intressen skulle kunna komma in i denna kungliga = (Forts) familj, som kunde påverka den i dess hållning till viktiga statsangelägenheter. Det är således, tror jag, ingalunda bara av den grund, att man velat hålla den kungliga familjen liksom upp- Tyft över andra medborgare, som bestämmelserna hava kommit till, utan här spelar också in ett intresse, som måste betraktas såsom ett statsintresse, nämligen att hindra uppkomsten av privata förbindelser av den art, att de kunna vara skadliga för konungafamiljens opartiska ställning. Vad Konungens kontroll över de utrikes resorna beträffar är ju detta stadgande ioch för sig en bagatell, och ingen har heller hittills yrkat bifall till motionen i vad den avser att upphäva den kontrollen. Jag skall emellertid anmärka, att det torde vara ganska klart i och med det att de kungliga prinsarna ha apanage genom anslag från riksdagen, att det måste finnas någon kontroll över att detta apanage användes av dem för deras uppehåll inom landet, så att de icke genom bosättning på utrikes ort bliva alldeles främmande för svenska förhållanden. I ännu högre grad måste det slutligen om borttagande av titlar av hertigdömen gälla, att det är en bagatelisak av sådan art, att den icke behöver framkalla något ingripande från riksdagen. Överhuvud taget gäller om alla dessa tre av mig i korthet berörda punkter, att de äro av ganska grannlaga natur, och det synes mig icke finnas något skäl för riksdagen att ingripa på detta område.</w:t>
        <w:br/>
        <w:br/>
        <w:t>Väsentligen annorlunda förhåller det sig däremot med den del av herr Lindhagens motion, som avser ändring av 8 45 i regeringsformen angående prinsars rätt att bekläda ämbeten.</w:t>
        <w:br/>
        <w:br/>
        <w:t>Som bekant är nu stadgat, att Svea rikes arvfurstar eller ' prinsar av det kungliga huset icke kunna innehava några civila ämbeten, varemot de enligt regeringsformen kunna innehava militära ämbeten. |</w:t>
        <w:br/>
        <w:br/>
        <w:t>Denna bestämmelse har upprepade gånger varit föremål för motioner om ändring, motioner, som gått i endera av två olika riktningar. Antingen har man velat helt och hållet upphäva prinsars rätt att bekläda ämbeten överhuvud eller också har man velat upphäva den begränsningen, att prinsar skulle få bekläda endast militära men icke civila ämbeten. För båda ståndpunkterna kunna naturligtvis vissa skäl anföras. Men jag tror, att om man tänker närmare på saken, så skall man finna att det riktiga icke är att stadga ett förbud mot beklädande av alla ämbeten för de kungliga prinsarna. Ty ett sådant förbud skulle förhindra dessa furstar att deltaga i något slags statens arbete, vare sig i det civila eller det militära. Det kan icke ligga i statens och folkets intresse, att man på det sättet förhindrar prinsarna</w:t>
        <w:br/>
        <w:br/>
        <w:t>att deltaga i nyttigt arbete inom statslivet. Tvärtom ligger det i allas intresse, att de genom en dylik tjänstgöring sättas i tillfälle att inhämta kunskaper och göra erfarenheter, som kunna komma dem till godo, om de skulle kallas att bekläda tronen.</w:t>
        <w:br/>
        <w:br/>
        <w:t>Däremot tror jag man har så mycket starkare skäl att fråga sig, om det föreligger någon anledning att tillåta dem bekläda endast militära men icke civila ämbeten. Innan jag en smula går in på den frågan, skall jag förutskicka att vi mäste komma ihåg, att i själva verket betyder icke ett medgivande att bekläda ämbete, att ämbetet kommer att beklädas i den meningen, att vederbörande prins verkligen blir utnämnd till innehavare därav. Sådant har ju endast med stor sällsynthet förekommit, med avseende på de prinsar, som tjänstgjort i militära befattningar. Det vanliga är, att sådan tjänstgöring sker, utan att något ämbete innehaves i egentlig mening. Men betydelsen av den nu gällande bestämmelsen är helt enkelt den, att på grund av densamma de kungliga prinsarna icke finna sig kunna tjänstgöra i någon annan statstjänst än den militära. En sådan ordning tror jag icke är riktig. Jag tror tvärtom, att det i våra tider mer än någonsin förut är angeläget, att de unga furstarna få sätta sig in i det civila arbetet. Den nuvarande bestämmelsen i grundlagen står för mig som en anakronism emedan den synes peka på något slags prioritet för den militära tjänstgöringen och de militära ämbetena framför den civila tjänstgöringen, en prioritet, som skulle göra den förra alldeles särskilt lämpad för de unga prinsarna, medan däremot den senare icke skulle vara det.</w:t>
        <w:br/>
        <w:br/>
        <w:t>Man har visserligen invänt, att genom tjänstgöring 1 civila ämbeten skulle prinsarna kunna komma i en viss egendomlig mellanställning inom ett verk, där de komma under civila chefer. De skulle, heter det, också måhända få en tvungen ställning gentemot sina kamrater, och man har talat om att det icke skulle vara lämpligt, att de komma att särskilt intressera sig för just den gren av den civila förvaltningen, där de finge sin sysselsättning. Men alla dessa invändningar gälla i fullkomligt lika grad i fråga om den militära tjänsten. Även där komma de unga furstarna i en egendomlig ställning i förhål-- lande till sin chef, även där kunna de komma i en tvungen ställning gentemot sina kamrater, och naturligtvis gäller även där, att de specialisera sig i vissa grenar, som tjänstgöringen omfattar, liksom de skulle göra i det civila arbetet.</w:t>
        <w:br/>
        <w:br/>
        <w:t>Under sådana förhållanden har jag, utan att egentligen anse, att denna sak är av någon alltför riksviktig beskaffenhet, dock för min del funnit, att då nu frågan blivit väckt, det icke är lämpligt, att den utan vidare avvisas. Jag tror att situationen är sådan, att det kunde vara all anledning att åtminstone denna kammare ger uttryck åt den meningen, att någon prioritet för militär tjänstgöring framför annat nyttigt statsarbete icke bör av grundlagen utpekas för de kungliga prinsårna. Detta kan</w:t>
        <w:br/>
        <w:br/>
        <w:t>ske genom en så enkel ändring, som att man i regeringsformen. 4ng. prinsars upphäver förbudet för prinsar att bekläda civilt ämbete men och prinste låter allt det andra i paragrafen vara orört. Och jag ber att jnliga huset i detta syfte få yrka bifall till den av mig m. fl. avgivna 're- — giftermål servationen. m.m. (Forts.) Herr Hildebrand: Herr talman, mina herrar! Den tenaste ärade talaren yrkade bifall till reservationen. Herrarna se där, att reservanterna visserligen avstyrkt det allra mesta av de motionsvis föreslagna ändringarna, men tagit upp en liten detalj och vilja stoppa in dessa ord »eller civilt ämbete». Den föregående ärade talaren har själv förklarat såsom sin uppfattning, att detta icke var någon synnerligen riksviktig fråga, och jag tror, att man på alla håll borde kunna giva honom rätt däri. Är det verkligen lämpligt att ändra grundlagen för en sådan sak som denna? Det är väl ändock icke så, att man bör ändra grundlag bara därför att ett förslag har framburits av enskild motionär och att, såsom jag tror den siste talarens ord föllo sig, det då kan vara mindre lämpligt att blott avvisa frågan. Det bör väl dock vara så, att man ändrar grundlag endast om ett verkligt behov av en ny bestämmelse har uppenbarat sig. Men jag tror verkligen icke, att ett sådant behov här har gjort sig gällande, och då synes det mig ganska meningslöst att här vidtaga en ändring. å Herr Edén uttalade sedan att en ändring ju icke alls skulle betyda att prinsar finge civila ämbeten, och jag tror ur många synpunkter att det skulle vara olämpligt, om det ordnades på det sättet. På den grund att något verkligt behov icke här har uppenbarat sig ber jag, herr talman, att få yrka bifall även i denna punkt till utskottets hemställan.</w:t>
      </w:r>
    </w:p>
    <w:p>
      <w:pPr>
        <w:pStyle w:val="Heading2"/>
      </w:pPr>
      <w:r>
        <w:t>4. Harald Hallen (Socialdemokraterna, man)</w:t>
      </w:r>
    </w:p>
    <w:p>
      <w:r>
        <w:rPr>
          <w:b w:val="0"/>
        </w:rPr>
        <w:t>Herr talman! Då jag med några kamrater i utskottet avgivit en blank reservation, har jag ansett det påkallat att med några ord angiva motiven härför.</w:t>
        <w:br/>
        <w:br/>
        <w:t>Det avslagsyrkande, vartill utskottsmajoriteten har kommit, föregås av en motivering, som i och för sig står på en så pass stark och klar rojalistisk grund, att redan detta för oss varit en anledning att icke kunna biträda densamma, även om det finnes några skäl, vilka jag sedan skall komma till, som kunnat göra att vi möjligen kunnat reflektera på utskottets ståndpunkt. De reservationer, som redan framförts dels av herr Edén och dels av herr Sterne, utmynna ju visserligen i flera demokratiska krav, som gör att kammaren säkerligen skulle kunna vara beredd att beträda endera av dessa vägar. Det har ju erinrats om, att den första reservationen, den av herr Edén avgivna, avser endast den ändringen i herr Lindhagens motion, att prinsar skulle erhålla rätt att inneha civila poster. Vi, som ha reserverat oss blankt, vilja också instämma i den tankegången ur den syn-</w:t>
        <w:br/>
        <w:br/>
        <w:t>man kan komma därhän att det militära yrkets förment högre sociala valör och betydelse skulle kunna något rubbas eller avtrubbas därigenom, att de civila och de rent militära ämbetena i denna punkt likställdes. Det gör, att såväl herr Edéns som herr Sternes yrkande i avseende å 8 45 regeringsformen ha starka skäl för sig. Dessutom kunde man tillägga, såsom jag tror att någon av de föregående talarna gjorde, att genom att de civila ämbetena gjordes tillgängliga även för medlemmar av kungafamiljen skulle arvfurstarna kunna få under sina utvecklingsoch studieår en mera ingående social kunskap, som kunde bliva dem till stor nytta, om de komme i den situationen att mottaga kronan.</w:t>
        <w:br/>
        <w:br/>
        <w:t>Men å andra sidan finnes det naturligtvis också vissa betänkligheter mot att gå en sådan väg. Man kan icke neka till, att därigenom skulle kungamakten så småningom kunna bli allt mer och mer bunden närmare vid samhället självt på ett mera rotfast och säkert sätt än vad vi från vår principiellt republikanska ståndpunkt kunna anse önskvärt. Detta gäller den av herr Edén framförda reservationen.</w:t>
        <w:br/>
        <w:br/>
        <w:t xml:space="preserve">I den reservation, som framförts av herr Sterne, har yrkandet vuxit till att omfatta ett biträdande även av herr Lindhagens förslag om den rätt för prinsar och </w:t>
      </w:r>
      <w:r>
        <w:rPr>
          <w:b/>
        </w:rPr>
        <w:t>prinsessor³</w:t>
      </w:r>
      <w:r>
        <w:rPr>
          <w:b w:val="0"/>
        </w:rPr>
        <w:t xml:space="preserve"> i fråga om giftermål, som vi alla känna till av motionen. Vi äro naturligtvis fullt ense med reservanten på den punkten såtillvida, som det här gäller ett tillmötesgående av allmäntmänskliga synpunkter och krav, som man icke kan komma ifrån. Men vad som gjort, att vi icke velat helt och fullt skriva under den reservationen är, att här finnes dock en ganska betänklig fara. Det kan ju tänkas, såsom lag tror att också herr Edén framhöll, att genom att medlemmarna av den kungliga familjen kunde ingå äktenskap med svenska medborgare, en liering kunde följa och ett närmare hopknytande av banden mellan kungafamiljen och nationen även i detta avseende, och även om man icke behöver befara samma förhållande som i forna dagar, då högadeln i vårt land genom släktskapsförbindelser med monarken kom att spela en otillbörligt stark roll, så veta vi, att det finnes möjligheter att högadelns reella efterträdare, glutokratien eller den s. k. penningadeln, kunde tänkas nå en förbindelse med dynastien, som icke skulle vara av önskvärd art. Vi ha därför ansett, att ju mer isolerat från nationen som de ännu regerande dynastierna framleva sitt liv — och i denna punkt har det icke framkommit något reformkrav från vederbörande själva — desto lättare kan också den situation mogna, då övergången till en fullt demokratisk styrelseform kan ske på fullt lojalt sätt och under ömsesidig förståelse för utvecklingens krav. Vi mena alltså, att det finnes ur republikansk synpunkt en viss risk att man genom att gå den väg, som motionären ifrågasatt och en av reservanterna också velat reflektera på, kunde nå ett alldeles motsatt resultat mot det, som säkerligen föresvävat herr Lindhagen, nämligen att man bidrog till ett slags modernisering</w:t>
        <w:br/>
        <w:br/>
        <w:t>och konservering av monarkiens princip, vilket vi, såsom repub- 4ng. prinsars likaner, på intet sätt vilja medverka till. och DONE Vi ha därför, som sagt, icke känt oss särskilt tilltalade av kungliga huset någon av de linjer, som i de olika reservationerna äro angivna, giftermål men då vi ej heller kunnat biträda utskottsmajoritetens yrkande, m.m. ha vi i stället kommit med vår blanka reservation utan något di- = (Forts) rekt formulerat yrkande; och jag får, åtminstone för min personliga del säga, att vid en eventuell votering är jag dock närmare böjd för att stöda det av herr Edén m. fl. framförda yrkandet, ehuru detta sker under betonande av och "hänvisning till de starka betänkligheterna mot att gå en sådan väg. Jag vill erinra om något som vi säkerligen alla känna till och som kanske redan förut anförts av någon talare, nämligen att för 13 år sedan motionerade herr 8. A. Hedin om att prinsar icke skulle ha rätt att bekläda något som helst ämbete. Han föreslog nämligen att ordet »civilt» i denna paragraf skulle utgå, och hans linje var synbarligen den, att man skulle vidmakthålla och om möjligt ytterligare stärka den isolerade ställning, vari dynastierna i de olika länderna befinna sig och därigenom påskynda det resultat av utvecklingen, som han tog för givet skulle förr eller senare infinna sig. Jag vill erinra om att den tidens andra-kammarvänster stödde Hedins yrkande. Det erhöll nämligen 90 röster, under det att utskottets avslagsyrkande samlade 123. Nu är det av vissa förhållanden kanske ej tänkbart att vi här i dag skulle beträda den linjen men jag tror att när härnäst det yrkandet kommer fram, kommer andra-kammarvänstern att följa den av Hedin utstakade vägen. öd Med dessa ord har jag velat angiva vår ståndpunkt och velat förklara att jag och, såsom jag antager, mina kamrater vid en eventuell votering snarare vilja stöda herr Edéns yrkande, ehuru, som sagt, med understrykande av de principiella betänkligheter jag här har angivit.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1323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