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1340</w:t>
      </w:r>
    </w:p>
    <w:p>
      <w:r>
        <w:rPr>
          <w:b/>
        </w:rPr>
        <w:t xml:space="preserve">Datum: </w:t>
      </w:r>
      <w:r>
        <w:t>1917-03-13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Lundberg (–, man)</w:t>
      </w:r>
    </w:p>
    <w:p>
      <w:r>
        <w:rPr>
          <w:b w:val="0"/>
        </w:rPr>
        <w:t>Den rådande livsmedelskrisen och dyrtiden ha vållat bekymmer, oro och nöd i mångtaliga hem. Föga hava statsmakterna gjort för att effektivt skingra denna oro och lindra denna nöd, som värst drabbat de arbetande klasserna. Bland dessa finnas åtskilliga grupper, särskilt på landsbygden, som råkat i ett alldeles särskilt bekymmersamt och olyckligt läge, fattiga människor, som på grund av förhållandena nästan bragts till ekonomisk undergång och nu hotas av den djupaste misär.</w:t>
        <w:br/>
        <w:br/>
        <w:t>Jag syftar härvidlag förnämligast på en hel del av våra torpare, backstusittare, daglönare, fattiga änkor liksom även en hel del arbetare omkring städerna och industrisamhällena. Dessa ha hitintills vant sig vid att ha ett par grisar eller att hålla någon liten hönsgård, någon gång även en ko. Genom att delvis avyttra, delvis själva använda fläsket samt sälja äggen och smöret, ha de hittills kunnat skaffa sig en liten, men för familjen nödvändig inkomst.</w:t>
        <w:br/>
        <w:br/>
        <w:t>Genom den oavlåtliga exporten av livsmedel och genom den försvårade och snart nästan uteblivna importen av säd, fodervaror och andra förnödenheter, dels ock genom det ohejdade jobberiet, förminskades å ena sidan matoch foderförråden oavlåtligt och stego å andra sidan priserna högst väseniligt på de ännu återstående förråden. Slutligen måste, för att hindra att den rena hungersnöden skulle övergå folket, beslag läggas på de viktigaste till människoföda tjänliga livsmedlen och en allmän ransonering bestämmas. Till kreatursföda förbjöds att använda vad till människoföda kunde hrukas. Genom dessa av krigsförhållandena och den allmänna livs-</w:t>
        <w:br/>
        <w:br/>
        <w:t xml:space="preserve">medelsbristen framtvingade åtgärder tvingas emellertid torparen och Interpellation. daglönaren, den fattiga </w:t>
      </w:r>
      <w:r>
        <w:rPr>
          <w:b/>
        </w:rPr>
        <w:t>änkan²</w:t>
      </w:r>
      <w:r>
        <w:rPr>
          <w:b w:val="0"/>
        </w:rPr>
        <w:t>, egnahemsbrukaren m. fl. på många (Forts. håll i vårt land att avyttra sina grisar, sin ko eller sina höns, som</w:t>
        <w:br/>
        <w:br/>
        <w:t>dock bidragit till familjens existens, ofta rent av upprätthållit den,</w:t>
        <w:br/>
        <w:br/>
        <w:t xml:space="preserve">Att så är förhållandet giva brev och klagorop, som kommit många riksdagens ledamöter till del, tydligt vid handen. Sålunda skriver en torpare från Halland, att han måste sälja sina tvenne grisar, som givit honom i dessa tider någon inkomst och även föda i hemmet. Han ser nu bister nöd framför sig. En fiskaränka från Roslagen klagar, att </w:t>
      </w:r>
      <w:r>
        <w:rPr>
          <w:b/>
        </w:rPr>
        <w:t>hon²</w:t>
      </w:r>
      <w:r>
        <w:rPr>
          <w:b w:val="0"/>
        </w:rPr>
        <w:t xml:space="preserve"> måste slakta alla sina höns, som förut givit </w:t>
      </w:r>
      <w:r>
        <w:rPr>
          <w:b/>
        </w:rPr>
        <w:t>henne²</w:t>
      </w:r>
      <w:r>
        <w:rPr>
          <w:b w:val="0"/>
        </w:rPr>
        <w:t xml:space="preserve"> en liten inkomst, och att </w:t>
      </w:r>
      <w:r>
        <w:rPr>
          <w:b/>
        </w:rPr>
        <w:t>hon²</w:t>
      </w:r>
      <w:r>
        <w:rPr>
          <w:b w:val="0"/>
        </w:rPr>
        <w:t xml:space="preserve"> snart ser sig tvungen att sälja sin ko. En dagsverkare från Småland har måst sälja både sin gris och sin ko. En egnahemsägare utanför Eksjö har måst avyttra sin lilla hönsgård, som beredde den talrika familjen någon lättnad i dess ekonomiska betryck. En småbonde från Ådalen skriver, att han måste lämna sitt lilla jordbruk. Sådana klagorop, säkerligen äkta och röjande ett allt svårare nödtillstånd hos stora lager av det allra fattigaste och mest betungade folket, komma som sagt från skilda håll och kunna icke lämna folkrepresentationen oberörd. Vi skulle illa tjäna den sak vi äro satta att vårda och värna, om vi icke beaktade också dessa olyckliga människors lott.</w:t>
        <w:br/>
        <w:br/>
        <w:t>Något måste, enligt vårt förmenande, ovillkorligen av statsmakterna åtgöras för att komma också dessa människor till hjälp, för att hålla dem åtminstone i någon mån skadeslösa för de förluster de lida på grund av de åtgärder, som måste vidtagas och som gått så tungt ut över dessa folklager.</w:t>
        <w:br/>
        <w:br/>
        <w:t>Med anledning av vad jag sålunda anfört anhåller jag härmed -om kammarens tillstånd att få till herr statsrådet och chefen för jordbruksdepartementet framställa följande frågor:</w:t>
        <w:br/>
        <w:br/>
        <w:t>1) Har sig herr statsrådet bekant, att på grund av en del åtgärder, som måste till folknäringens tryggande av regeringen tillgripas, en del av landsbygdens fattigaste befolkning råkat i avsevärda svårigheter och på sina håll hotas av ren nöd?</w:t>
        <w:br/>
        <w:br/>
        <w:t>2) Är det herr statsrådets avsikt att skyndsamt företaga en allmän undersökning rörande arten och omfånget av nu berörda svårigheter?</w:t>
        <w:br/>
        <w:br/>
        <w:t>3) Har herr statsrådet för avsikt att föreslå åtgärder till lindring av den nöd, vari ovannämnda fattiga folkgrupper på grund av «ovan berörda förhållanden råkat?</w:t>
      </w:r>
    </w:p>
    <w:p>
      <w:pPr>
        <w:pStyle w:val="Heading2"/>
      </w:pPr>
      <w:r>
        <w:t>2. Thure Widlund (–, man)</w:t>
      </w:r>
    </w:p>
    <w:p>
      <w:r>
        <w:rPr>
          <w:b w:val="0"/>
        </w:rPr>
        <w:t>Herr talman! Den förändring i lagen om försäkring mot olycksfall i arbete, som min motion avser, gäller blott åldersgränsen för barn till genom olycksfåll i arbetet omkomna arbetäre.</w:t>
        <w:br/>
        <w:br/>
        <w:t>Aldersgränsen är för närvurande femton år, men denna dersgräns kan icke anses rimlig, då ett barn vid denna ålder icke</w:t>
        <w:br/>
        <w:br/>
        <w:t>torde kunna försörja sig självt. Med denna lags antagande Fast-""otycksfall slogs skyldigheten för samhället att skydda de barn, vars anföri arbete. vanter omkommit genom olycksfall i arbete. När riksdagen har (Forts)</w:t>
        <w:br/>
        <w:br/>
        <w:t xml:space="preserve">tagit ett sådant initiativ, bör den också, enligt min mening, taga steget fullt ut och helt skydda dessa arbetares barn. Riksdagen har flera anledningar att göra så. Vi böra beakta det uppväxande släktets stora betydelse för samhället. Det är icke lämpligs att lämna ett barn i femtonårsåldern åt sig självt och att försörja sig självt. Var och en vet väl, att den inkomst, som ett barn i denna ålder, </w:t>
      </w:r>
      <w:r>
        <w:rPr>
          <w:b/>
        </w:rPr>
        <w:t>flicka²</w:t>
      </w:r>
      <w:r>
        <w:rPr>
          <w:b w:val="0"/>
        </w:rPr>
        <w:t xml:space="preserve"> eller gosse. kan erhalla, icke kan vara sådan, att det därpå kan fullt försörja sig. Enligt min mening är det nödvändigt att ordna det så, utöver den rena försörjningsplikten, att den undervisning, som barnet fått i folkskolan, skall kunna i någon mån påbyggas, för att barnet på sådant sätt skall erhålla ett kraftigt stöd för sin utveckling i livet. Det är ju ändå så, att även ibland de fattigare barnen det kan finnas en hel del med goda anlag, vilka barn, om de få en tillräckligt bärande utbildning, kunna kliva nyttiga och verksamma samhällsmedlemmar. Denna utbildning borde man då icke undandraga dem.</w:t>
        <w:br/>
        <w:br/>
        <w:t>En framstående ledamot av denna kammare, som varit med om att behandla denna lag på dess tidigare stadium, beaktade också detta vid frågans behandling föregående år och yttrade här i kammaren i detta hänseende, när frågan var före: »Det lider icke ringaste tvivel, att det är ett föråldrat tillstånd, att försörjningsplikten för barnen skall upphöra redan vid 15 års ålder, och så som utvecklingen av de ungas krafter och färdigheter under nuvarande förhållanden måste fortgå, blir det ett underklassmärke, att denna utveckling skall behöva avklippas vid en alltför tidig ålder. Det står också i rak strid med de strävanden till fortsättningsskolor och fortsatt utbildning av alla slag, som riksdagen med all rätt söker uppmuntra.» — Denne talare fastslog således först, att detta avklippande av understödsmöjligheten redan vid 15 år vore ett åsättande av ett klassmärke, och underströk vidare behovet av att barnet får stöd i alla avseenden, och icke minst beträffande fortsatt utbildningsmöjlighet. Staten har i övrigt, oavsett sin skyldighet i ekonomiskt avseende, enligt min mening, skyldighet att tillse, att det släkte, som fostras, blir ett starkt och friskt släkte. Vi göra inom den lagstiftande församlingen, och det med rätta, många gånger stora uppoffringar för det uppväxande släktet, på det att de unga skola bli fysiskt starka och dugande samhällsmedlemmar. Men om detta stöd undanryckes vid en så tidig ålder som 15 år, kan man befara, att vad man sökt uppbygga i ungdomen, senare kan gå till spillo.</w:t>
        <w:br/>
        <w:br/>
        <w:t>— Beträffande andra av staten understödda individer finna vi där ett kaos av olika åldersgränser, såsom 18, 21 och 25 år; i vissa fall får individen understöd för hela sitt liv, och då gäller det individer, vilka helt säkert ha större möjlighet att stå emot SVvå-</w:t>
        <w:br/>
        <w:br/>
        <w:t>righeterna i livet än just dessa barn ha, som det här är fråga om. Det oaktat har man sett sig skyldig att på grundvalen, som jag förmodar, av behövligheten av ekonomiskt stöd sätta åldersgränsen så hög som till 25 år eller för hela livet.</w:t>
        <w:br/>
        <w:br/>
        <w:t>Går jag sedan över till utskottets yttrande, finner jag detta vara mycket kort. Utskottet har gjort till sitt det yttrande, som förlidet års särskilda utskott hade, men det har gjort ett litet tilllägg, påpekande, att den motion, jag väckt, är av samma ordalydelse som den herr Eriksson i Grängesberg m. fl. förra året väckte. Samma motiv för avslag å den motionen, som funnos föregående år, finnas även nu för avslag å min motion. Jag skulle här inom parentes vilja anmärka, att utskottet förra året mycket litet gick in på realbehandling av denna fråga. Frågan sammankopplades då med en motion av herr Lindley i första kammaren, avseende helt andra saker än åldersgränsen, och den blev, kanske mycket på grund därav, knapphändigt behandlad. Orsaken till avslagsyrkandet var väl närmast den, att försäkringspremierna skulle så väsentligt ökas. Det kan mycket väl hända, att en väsentlig ökning av premierna bleve nödvändig genom en förändring i min motions riktning, men jag undrar, å ena sidan om icke dessa medel äro möjliga att uppbringa och å andra sidan om de icke vid sådan användning skulle giva tillräcklig valuta. Jag förstår icke, att man kan draga sig tillbaka för en uppoffring, när det gäller en så behjärtansvärd sak som denna. Lagutskottet har emellertid i år stannat vid vad fjolårets särskilda utskott stannade vid.</w:t>
        <w:br/>
        <w:br/>
        <w:t>Jag ber sedan att få övergå till de ärade reservanterna, närmast herrar Klefbeck, Persson i Norrköping och Lindlev i Söderhamn. Jag får säga, att jag står frågande inför den av dem avgivna reservationen. Vad mena dessa herrar egentligen med sin reservation? Denna kunde, såvitt jag kan förstå. saklöst undvaras, ty den uttalar icke det minsta mot vad utskottet i stort sett har uttalat. Det enda, som skulle kunna vara av betydelse i denna reservation, är ordet »önskvärd». Det är ju tacknämligt, att herrar reservanter hava ansett, att denna fråga är så beaktansvärd, att de vågat i reservationen uttala, att den påyrkade förändringen är önskvärd. Men detta är just icke något, som kan föra frågan framåt. Särskilda utskottet uttalade också i fjol samma önskvärdhet. Jag citerar: »Även om de ändringar i beloppen och den höjning av åldersgränsen, som av motionärerna påyrkas, i och för sig vore önskvärd, skulle desamma dock komma att medföra en så väsentlig ökning av försäkringspremierna. att utskottet för sin del anser sig böra avstyrka bifall därtill.»</w:t>
        <w:br/>
        <w:br/>
        <w:t>Jag förstår nu icke, vad dessa herrar reservanter avsett med sin reservation, det kan man kanske under ärendets behandling få höra. Det skulle kunna hända, att dessa reservanter möjligtvis intagit en annan ståndpunkt, om det varit en annan motionär. men jag vill dock icke tro, att personen för dem varit avgörande. Jag vill nämligen påpeka vad en talare föregående riksdag yttrade vid det tillfälle. då detta ärende behandlades; han sade: »Jag tror</w:t>
        <w:br/>
        <w:br/>
        <w:t>omellertid, att det har varit till gagn för den gemensamma saken, Ang. ändring i</w:t>
        <w:br/>
        <w:br/>
        <w:t>att frågan bragts på tal även i sammanhang med olycksfallsförsäkringslagen, och jag ber att få uttrycka en förhoppning om, att det livliga intresse för densamma, som helt säkert finnes inom vidsträckta kretsar här i andra kammaren, skall lyckas föra denna sak framåt under kommande år.» — Så uttalade sig 1916 en ledamot av kammaren. Denna uttalade förhoppning om frågans framförande till förbättring torde vara tillräckligt auktoriserande för herrar reservanter. Herrar reservanter borde hava tagit vara på denne persons yttrande och gjort till sin uppgift att föra frågan framåt, då nu ingen annan än jag fört frågan inför kammaren, och man borde icke ha tagit hänsyn till vem som fört fram frågan, utan till vad som yttrades föregående riksdag. Jag beklagar, nes dessa reservanter icke gjort mera för denna så behjärtansvärda sak.</w:t>
        <w:br/>
        <w:br/>
        <w:t>Den andra reservationen är framförd av herr Lindhagen. Beträffande denna vill jag säga, att jag tror, att reservanten har framfört skäl, som borde vara talande för kammaren för att kunna gå med på densamma. Man bör icke tro, att med den reservationens antagande frågan föres framåt på sådant sätt, att man icke hinner följa den ordentligt. Även om denna reservation antages, skall det komma att dröja åtskilliga år, innan man kommer till det läge, där man kan konstatera, att frågan är slutgiltigt löst. När det nu gäller en så behjärtansvärd sak som att skydda de fat- 4tigaste bland fattiga arbetares barn från undergång på grund av ekonomisk nöd, torde det för denna kammare vara angeläget att bifalla den av herr Lindhagen avgivna reservationen.</w:t>
        <w:br/>
        <w:br/>
        <w:t>Jag ber, herr talman, att få yrka bifall till den av herr Lindhagen vid utskottets betänkande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