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1379</w:t>
      </w:r>
    </w:p>
    <w:p>
      <w:r>
        <w:rPr>
          <w:b/>
        </w:rPr>
        <w:t xml:space="preserve">Datum: </w:t>
      </w:r>
      <w:r>
        <w:t>1918-03-06</w:t>
      </w:r>
    </w:p>
    <w:p>
      <w:r>
        <w:rPr>
          <w:b/>
        </w:rPr>
        <w:t xml:space="preserve">Kammare: </w:t>
      </w:r>
      <w:r>
        <w:t>Andra kammaren</w:t>
      </w:r>
    </w:p>
    <w:p>
      <w:r>
        <w:rPr>
          <w:b/>
        </w:rPr>
        <w:t xml:space="preserve">Antal yttranden: </w:t>
      </w:r>
      <w:r>
        <w:t>9</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Oscar Bogren (Liberala samlingspartiet, man)</w:t>
      </w:r>
    </w:p>
    <w:p>
      <w:r>
        <w:rPr>
          <w:b w:val="0"/>
        </w:rPr>
        <w:t>Herr talman! Denna fråga gäller, huruvida riksdagen skall bevilja medel för att hålla vissa professorer vid Ultuna lantbruksinstitut skadeslösa för den löneminskning de få vidkännas, på grund av att de förklarat sig wvilliga övergå på den nya lönestat, som riksdagen förlidet år antog rörande såväl Ultuna som Alnarps lantbruksinstitut.</w:t>
        <w:br/>
        <w:br/>
        <w:t xml:space="preserve">Genom detta riksdagens beslut, som trädde i kraft med detta års början, uppföras för det första de åtta lektorerna vid Ultuna till rang av professorer, och för det andra höjas deras löner, om jag inräknar ålderstilläggen, från 6,000 till 7,000 kronor. Vid Ultuna ha samtliga därvarande åtta lektorer — professorer, som det numera heter — förklarat sig nöjda med att övergå på den nya staten. Tre av dessa, som befinna sig i tämligen hög ålder Sjöström och Petersson äro nu 57 år och Timberg 59 år — få, på grund av att de övergingo på den nya lönestaten, vidkännas åtskilliga merutgifter. För deras egen pensionering ökas avgifterna med 90 kronor per man och år. Dessutom komma de härigenom in i civilstatens </w:t>
      </w:r>
      <w:r>
        <w:rPr>
          <w:b/>
        </w:rPr>
        <w:t>änkeoch²</w:t>
      </w:r>
      <w:r>
        <w:rPr>
          <w:b w:val="0"/>
        </w:rPr>
        <w:t xml:space="preserve"> pupillkassa, till vilken de icke förut hört. Jag ber här kammaren lägga märke till, att de under sin långa tjänstetid icke erlagt ett enda öre till denna kassa. Deras avgifter till densamma belöpa sig efter den 1 januari 1918 till 210 kronor om året. Men därtill kommer befordringsavgift, som de äro skyldiga erlägga till kassan, och den ställer sig ganska hög, beroende på deras höga ålder. Under de närmaste 5 åren uppgår den till en årlig avgift av för Sjöström 910 kronor, för Petersson 895 kronor och för Timberg 972 kronor 50 öre.</w:t>
        <w:br/>
        <w:br/>
        <w:t>Dessa professorer ha åtnjutit och åtnjuta fortfarande bostadsförmån, för vilken de förut betalt 500 kronor om året. Nu få de betala 750 kronor, och det blir således här en merutgift på 250 kronor om året.</w:t>
        <w:br/>
        <w:br/>
        <w:t xml:space="preserve">På grund av de höga befordringsavgifter, ifrågavarande personer ha att erlägga till </w:t>
      </w:r>
      <w:r>
        <w:rPr>
          <w:b/>
        </w:rPr>
        <w:t>änkeoch²</w:t>
      </w:r>
      <w:r>
        <w:rPr>
          <w:b w:val="0"/>
        </w:rPr>
        <w:t xml:space="preserve"> pupillkassan, komma deras nettoinkomster under de närmaste 5 åren att understiga de. inkomster, som de hade på den gamla lönestaten. Och nu begära de, att riksdagen skall träda emellan och hålla dem skadeslösa för merutgifterna. Kungl. Maj:t har ju också tillstyrkt detta delvis. Kungl. Maj:t föreslår här, att riksdagen skulle bevilja årligen i 5 år för Sjöström 166 kronor, för Petersson 85 kronor och för Timberg 419 kronor 50 öre.</w:t>
        <w:br/>
        <w:br/>
        <w:t>Nu måste vi ju tänka på, att då dessa lärare förklarade sig villiga att övergå till den nya lönestaten, vilket de icke voro tvungna till, så hade de fullkomligt klart för sig, vad det medförde i</w:t>
        <w:br/>
        <w:br/>
        <w:t>pensionsavgifter. Vi finna också, att en professor i Alnarp har icke gått in på den nya lönestaten, ty han hesiterade inför dessa merutgifter och står därför kvar på den gamla lönestaten. Givet är, att alla de yngre gingo med, ty för dem gör det icke så mycket.</w:t>
        <w:br/>
        <w:br/>
        <w:t>Nu är det ju så, att vad deras egen pensionering beträffar, så höjes pensionsavgiften endast med 90 kronor om året. Besinna vi då, att de tre ifrågavarande personerna snart äro pensionsmässiga — de bli det respektive 1924, 1926 och 1927 — så är det ju icke under många år de få erlägga dessa 90 kronor mer, för att deras pension skall ökas med 400 kronor om året. Efter den korta tjänstetid, som återstår, komma de upp till en pension av 5,000 kronor vardera.</w:t>
        <w:br/>
        <w:br/>
        <w:t>Vad hyresavgiften beträffar, så tror jag, att vilken professor som helst i Uppsala eller Lund skulle vara glad, om han kunde få en motsvarande hyreslägenhet för 750 kronor. Denna höjning med 250 kronor måste ju betraktas som hörande till dyrtiden, om jag så må uttrycka mig. Hyrorna stiga ju överallt.</w:t>
        <w:br/>
        <w:br/>
        <w:t xml:space="preserve">Vad vidare beträffar de 210 kronor om året, som de få betala till </w:t>
      </w:r>
      <w:r>
        <w:rPr>
          <w:b/>
        </w:rPr>
        <w:t>änkeoch²</w:t>
      </w:r>
      <w:r>
        <w:rPr>
          <w:b w:val="0"/>
        </w:rPr>
        <w:t xml:space="preserve"> pupillkassan, så måste dessa uvlägg betraktas som en form av kapitalplacering, då ju dessa män förut icke vidkänts några avgifter för att säkerställa de sina vid eget frånfälle och då de ju äro i ganska hög ålder.</w:t>
        <w:br/>
        <w:br/>
        <w:t>Nu är det här icke så mycket fråga om dessa summor, som föreslås, att riksdagen skall bevilja, utan fastmera om den princip det här gäller att tillämpa. Det gäller, om riksdagen skall vid varje lönereglering ikläda sig att betala de merutgifter, som en ny lönestat eventuellt åsamikar de tjänstemän, som ingå på denna lönestat. Härav torde följa konsekvenser av så stor omfattning, att riksdagen torde besinna sig mer än en gång, innan den fastslår en sådan princip. Om riksdagen nu beviljar dessa tre professorer, vad Kungl. Maj:t och utskottet föreslagit, så är det ju givet, att de övriga av deras kamrater — det finns vid Ultuna tvenne andra som också äro födda 1861 — skola begära att få samma rätt. Och den äldsta av dem vid Alnarp — jag vill minnas han är född 1856 — kommer naturligtvis också att gå in på den nya lönestaten samt begära denna lindring. Men det är icke fråga om endast denna lönestat, utan riksdagen har ju årligen snart sagt alltid någon ny lönestat att handlägga, och då gäller det, huruvida man skall tillämpa den princip, som här föreslås, att riksdagen skall betala de merutgifter för tjänstemännens egen pensionering och för deras änkors och barns pensionering, som följa med en övergång till den nya lönestaten.</w:t>
        <w:br/>
        <w:br/>
        <w:t>Jag har, herr talman, icke kunnat i utskottet gå med på denna nya princip, och därför har jag yrkat avslag å framställningen. Därför yrkar jag nu avslag på bankoutskottets föreliggande förslag.</w:t>
      </w:r>
    </w:p>
    <w:p>
      <w:pPr>
        <w:pStyle w:val="Heading2"/>
      </w:pPr>
      <w:r>
        <w:t>2. Emil Kristensson (Socialdemokraterna, man)</w:t>
      </w:r>
    </w:p>
    <w:p>
      <w:r>
        <w:rPr>
          <w:b w:val="0"/>
        </w:rPr>
        <w:t>Herr talman! Inom utskottet har</w:t>
        <w:br/>
        <w:br/>
        <w:t xml:space="preserve">jag icke deltagit i detta ärendes behandling men hade jag det gjort, så hade jag på denna punkt varit antecknad som reservant med yrkande om avslag på Kungl. Maj:ts proposition. Ty det skulle leda till alldeles orimliga konsekvenser, om vi här bifölle denna' framställning, att därför att dessa tre lektorer, som nu övergått på den nya staten och blivit professorer, få vidkännas ett stort avdrag, emedan de förut icke varit med i civilstatens </w:t>
      </w:r>
      <w:r>
        <w:rPr>
          <w:b/>
        </w:rPr>
        <w:t>änkeoch²</w:t>
      </w:r>
      <w:r>
        <w:rPr>
          <w:b w:val="0"/>
        </w:rPr>
        <w:t xml:space="preserve"> pupillkassa och alltså icke betalt några avgifter där, så skall det avdraget efterskänkas. Det betyder, att de andra lärarna där, som varit med i </w:t>
      </w:r>
      <w:r>
        <w:rPr>
          <w:b/>
        </w:rPr>
        <w:t>änkeoch²</w:t>
      </w:r>
      <w:r>
        <w:rPr>
          <w:b w:val="0"/>
        </w:rPr>
        <w:t xml:space="preserve"> pupillkassan och betalt sina avgifter under den gångna tikn fä nu därför icke få så stort avdrag, icke skulle få något efterskänkt.</w:t>
        <w:br/>
        <w:br/>
        <w:t>Att detta uppmärksammats av den kår det gäller, vissar en promemoria, som kommit mig tillhanda från det hållet, och där det orimliga i denna framställning påpekas. Det säges där, att därest riksdagen bifaller detta så fordrar rättvisan, att »staten övertar samma skyldighet även gentemot övriga lärare, som förut ingått i denna kassa och själva betalt inträdesavgiften, åtminstone så till vida att den tilläggsavgift, som av dem nu ytterligare kräves, efterskänkes, eller att de få ersättning därför.</w:t>
        <w:br/>
        <w:br/>
        <w:t>Eljest kommer det märkliga förhållande att inträffa, att dessa lärare just därför att de själva förut betalt sin inträdesavgift och avdraget för den på lönen därför ej nu blir så stort som för de övriga, även måste själva betala tillägget nu, under det att de, som i denna sak aldrig gjort något utlägg skulle hjälpas av staten.»</w:t>
        <w:br/>
        <w:br/>
        <w:t>Det är ju givet, som den föregående ärade talaren här yttrade, att när personer ingå på en ny stat och de ha sin frihet att välja mellan den gamla och den nya staten, så få de taga de förhållanden: i övervägande. Då riksdagen flyttar en kår från ett lägre plan till ett högre — såsom här från lektorsställning till professorställning, eller från andragradstjänst till tredjegradstjänst — så är det väl icke med tanke på de gamla personer, som inneha platserna ifråga. För dem brukar ju riksdagen ofta göra en övergångsstat eller rent av sätta dem på indragningsstat, om de icke anses lämpliga. Här har icke något sådant gjorts, men det föreligger dock frihet för dem att ingå eller icke ingå på den nya lönestaten.</w:t>
        <w:br/>
        <w:br/>
        <w:t xml:space="preserve">Vilka skulle konsekvenserna bli av detta? Jo, att varje gång en ny lönereglering göres och en kår flyttas upp på ett högre plan, skulle riksdagen betala de avgifter till civilstatens </w:t>
      </w:r>
      <w:r>
        <w:rPr>
          <w:b/>
        </w:rPr>
        <w:t>änkeoch²</w:t>
      </w:r>
      <w:r>
        <w:rPr>
          <w:b w:val="0"/>
        </w:rPr>
        <w:t xml:space="preserve"> pupillkassa, som bero på att tjänstemännen icke i den föregående staten varit delägare i denna kassa och därför icke själva betalt några avgifter till densamma.</w:t>
        <w:br/>
        <w:br/>
        <w:t>Jag ber alltså, herr talman, att få yrka avslag på Kungl. Maj:ts proposition.</w:t>
      </w:r>
    </w:p>
    <w:p>
      <w:pPr>
        <w:pStyle w:val="Heading2"/>
      </w:pPr>
      <w:r>
        <w:t>3. Anders Gustafsson (Lantmanna- och borgarepartiet inom andrakammaren, man)</w:t>
      </w:r>
    </w:p>
    <w:p>
      <w:r>
        <w:rPr>
          <w:b w:val="0"/>
        </w:rPr>
        <w:t>Det är naturligtvis alldeles riktigt, som här sagts, att dessa professorer icke ha någon rätt att begära gottgörelse för minskningen i löneförmåner, på grund av att de ingått på den nya lönestaten. Och det kan ju mycket</w:t>
        <w:br/>
        <w:br/>
        <w:t>väl sägas, att de haft frihet att göra det eller icke. Men här är Ang. gottdet ett alldeles säreget törhållande. Dessa personer ha, som ockSå Mrernad. A. herr Bogren påpekat, så kort tjänstetid kvar, innan de bli pensions- Sjöström, E. mässiga, att deras avlöning under den tid som återstår blir betydligt v. E. Petersmindre, än om de stått kvar på den gamla lönestaten. Men de följa sor och A. G. naturligtvis med, då dåe få 400 kronor högre pension, än om de stått (FortaV. kvar. " Det är alldeles sant, som här sagts, att detta medför konsekvenser, ty det kan ju bli fråga om åtskilliga andra likartade fall. Det upplystes inom utskottet, att det fanns likartade förhållanden på åtskilliga andra håll särskilt bland lägre tjänstemän hos staten, och det var särskilt från vissa håll inom utskottet, som detta var det enda skälet, varför man ville gå med på detta förslag. Just för att man skulle få ett prejudicerande beslut i sådana fall, där under den återstående tjänstetiden lönen blir minskad därigenom att vederbörande gå in på den nya lönestaten, gick man med på bifall till denna framställning. Jag är, som jag förut sade, icke av den meningen, att de skulle ha någon rätt till dessa bidrag, men jag har ansett, att billighetsskäl här fordra att riksdagen träder hjälpande emellan. Nu kan man visserligen säga, att de personer som det här är fråga om, äro i sådan ekonomisk ställning och hava sådana löneförmåner, att de mycket väl kunna bära detta. Ja, men jag vill lägga herrarna på hjärtat att det kan komma alldeles likartade framställningar från personer, som hava mycket svårt att bära den löneminskning, som just blir följden av dylika förhållanden. Jag ber att få yrka bifall till utskottets förslag.</w:t>
        <w:br/>
        <w:br/>
        <w:t>Herr Borg: Herr vice talman! Jag skall icke i denna sena timme förlänga debatten. Jag har endast begärt ordet för att förklara, att jag inom utskottet haft samma mening som reservanterna och att jag behåller den även nu. Att mitt namn icke finnes med bland dem, som reserverat sig, beror på ett förbiseende, och då saken ligger på det sättet, skall även jag be att få yrka avslag på utskottets hemställan.</w:t>
      </w:r>
    </w:p>
    <w:p>
      <w:pPr>
        <w:pStyle w:val="Heading2"/>
      </w:pPr>
      <w:r>
        <w:t>4. Carl Persson (Lantmanna- och borgarepartiet inom andrakammaren, man)</w:t>
      </w:r>
    </w:p>
    <w:p>
      <w:r>
        <w:rPr>
          <w:b w:val="0"/>
        </w:rPr>
        <w:t>Man torde icke behöva uppehålla sig myeket vid denna fråga, då jag tager för givet, att andra kammaren ämnar följa reservanterna. Det gäller här icke så stora summor, att det skulle vara för dessa summors skull, som jag har begärt ordet, men det är därför, att det gäller en stor principfråga, och med hänsyn till de följder, ett bifall till utskottets förslag här kan hava, som jag velat yttra några ord i frågan.</w:t>
        <w:br/>
        <w:br/>
        <w:t>När riksdagen på sista tiden upprättat nya lönestater, är det naturligt att det stått var och en fritt att övergå på ny stat eller icke. Nu säga dessa personer själva i sin ansökan till Kungl. Maj:t: »Ehuru vi till fullo uppskatta de förmåner, den nya lönestaten medför i fråga om större pension för oss själva och ökad trygghet för våra efterlevande, och därför även förklarat oss villiga</w:t>
        <w:br/>
        <w:br/>
        <w:t xml:space="preserve">att övergå till densamma, kunna vi dock ej underlåta att i anderdånighet framhålla, att, då de nämnda förmånerna enligt sakens natur äro ovissa, men den inträdande löneminskningen under tjänstetiden säker» o. s. v. Ja, det är alldeles klart, att det är ovisst för dessa liksom för .alla andra, huruvida de få leva och åtnjuta de förmåner, som detta har med sig. Däri hava de rätt. Statskontoret säger också: »Då sökandena med hänsyn tiil de förbättrade pensionsförmåner, som den nya lönestaten medför, funnit med sin fördel förenligt att ingå på sagda stat, måste de självfallet vara beredda att vidkännas den ökning i pensionsavgifter, som följer av övergången till den nya staten.» Allt talar ju för att idke någon rätt finnes för dem att få vad de begära, och det är klart, att hade de haft rätt därtill, hade frågan icke behöft dragas inför riksdagen. När nya lönestater regleras för tjänstemännen, gäller det för dem det gäller att avgöra, om det är en förmån eller en förlust att övergå på den nya staten. De hava således haft rätt att välja och då ser det ut, som om de, ehuru de såsom de själva säga vetat detta, dock gått över på den nya staten och nu försöka att komma ifrån förpliktelserna. Jag undrar, om det är rätt, att riksdagen villfar sådana framställningar och så att säga lockar tjänstemännen in på den vägen att först gå över på ny lönestat och sedan söka komma ifrån förpliktelserna. Det har ganska stora följder med sig, ifall utskottets förslag skulle godkännas. Man kan icke räkna de framställningar, som man sedan måste bifalla. Jag skall blott be att få nämna ett enda exempel, som inträffade under den förra regeringen. Det var en lektor vid ett av våra allmänna läroverk, som sökte en plats i ett centralt ämbetsverk här i huvudstaden. Löneförmånerna blevo ej så avsevärt mycket större i den nya tjänsten, men han ansåg det kanske vara behagligare att arbeta där än på den plats, han förut haft. Han fick platsen. Då gick han in till Kungl. Maj:t och begärde, att han skulle bliva befriad från att betala retroaktivavgifter till civilstatens </w:t>
      </w:r>
      <w:r>
        <w:rPr>
          <w:b/>
        </w:rPr>
        <w:t>änkeoch²</w:t>
      </w:r>
      <w:r>
        <w:rPr>
          <w:b w:val="0"/>
        </w:rPr>
        <w:t xml:space="preserve"> pupillkassa. Det är att märka, att denne lektor förut varit delävare i allmänna läroverkens </w:t>
      </w:r>
      <w:r>
        <w:rPr>
          <w:b/>
        </w:rPr>
        <w:t>änkeoch²</w:t>
      </w:r>
      <w:r>
        <w:rPr>
          <w:b w:val="0"/>
        </w:rPr>
        <w:t xml:space="preserve"> pupilikassa och hade där betalat avgifter under hela sin tjänstetid. Han hade alltså förut uppfyllt sina skyldigheter för att bereda förmåner åt </w:t>
      </w:r>
      <w:r>
        <w:rPr>
          <w:b/>
        </w:rPr>
        <w:t>änka²</w:t>
      </w:r>
      <w:r>
        <w:rPr>
          <w:b w:val="0"/>
        </w:rPr>
        <w:t xml:space="preserve"> och barn, men de förmåner, han sålunda förvärvat, försvunno nu, och så fick han söka bereda dem trygghet genom att till civilstatens </w:t>
      </w:r>
      <w:r>
        <w:rPr>
          <w:b/>
        </w:rPr>
        <w:t>änkeoch²</w:t>
      </w:r>
      <w:r>
        <w:rPr>
          <w:b w:val="0"/>
        </w:rPr>
        <w:t xml:space="preserve"> pupillkassa erlägga dessa stora retroaktivavgifter. Därför synes denne man, som alltid fått betala pensionsavgifter till förmån för </w:t>
      </w:r>
      <w:r>
        <w:rPr>
          <w:b/>
        </w:rPr>
        <w:t>änka²</w:t>
      </w:r>
      <w:r>
        <w:rPr>
          <w:b w:val="0"/>
        </w:rPr>
        <w:t xml:space="preserve"> och barn, hava haft större rätt att få sin önskan uppfylld; han borde hava haft större rätt att få hjälp med sina avsevärda retroaktivavgifter i civilstatens </w:t>
      </w:r>
      <w:r>
        <w:rPr>
          <w:b/>
        </w:rPr>
        <w:t>änkeoch²</w:t>
      </w:r>
      <w:r>
        <w:rPr>
          <w:b w:val="0"/>
        </w:rPr>
        <w:t xml:space="preserve"> pupillkassa än dessa, som idke betalat ett enda öre för att trygga sina efterlevande.</w:t>
        <w:br/>
        <w:br/>
        <w:t>Nu resonerar man på det sättet, när det här är fråga om att dessa tjänstemän vid lantbruksinstitutet skola betala retroaktivavgifter, att det är en stor summa, som de skola betala, och man tror, att de få betala mera än de, som under hela sin tjänstetid varit delägare i pensionskassan och måst åriigen betala avgifter. Det är icke så. Dessa summor gå icke till mera, knappast så mycket,</w:t>
        <w:br/>
        <w:br/>
        <w:t>som de erlagt, vilka årligen fått betala avgifter under hela sin Ang. gott tjänstetid. Nu ifrågavarande personer få betala på kortare tid, OCh fössorerna J.A. därför blir summan större, men de förvärva en rätt utan att behöva Sjöström, E. betungas med större avgifter. Således får man se bort från att den v. E. Peterssamlade summan är större än vad kamraterna i samma lönegrad son och A. G. behöva betala. De betala visst icke mer än de andra utan möjligen = Timberg. mindre, och då synes det mig att staten idke bör träda emellan. (Forts) Mig förefaller det, att man bör betänka sig noga, innan man går med på en sådan hemställan, som utskottet här tillstyrkt bifall till.</w:t>
        <w:br/>
        <w:br/>
        <w:t>Nu kan man säga, att det är billighetsskäl. som tala för ett bifall till framställningen. Jag vill då hemställa till kammaren, om det är skäl att börja med de högst avlönade tjänstemännen. I stället vore det väl skäl att börja med de lägre avlönade, ty det är klart, att en större summa är svårare att åstadkomma för de sistnämnda än för dem, som genom den nya staten blivit uppflyttade 1 den löneklass, varom nu är fråga.</w:t>
        <w:br/>
        <w:br/>
        <w:t>Jag vill erinra om hur det ställer sig inom vattenfallsverket. Där hava de flesta tjänstemännen teknisk utbildning. VWVederbörande chef har rätt att utifrån det privata livet kalla till tjänstenän 1 verket personer, som äro vuxna de platser, som skola besättas, och då dessa redan gjort sig kompetenta i det privata livet, hava de icke den låga levnadsålder, som de personer hava, vilka i allmänhet söka inträde i de centrala ämbetsverken, utan de hava en högre ålder. I och med detsamma som de komma in i verket, få de betala icke så obetydliga retroaktivavgifter, därför att de börja vid en högre ålder. Skall man nu villfara det föreliggande förslaget, får man alla sådana fall, och många följder har detta med siz, som icke äro hälsosamma. Jag anser därför att man bör vara försiktig beträffande en sådan framställning som denna och betänka sig, innan man lämnar sitt bifall till densamma. Jag tror, att det har sin betydelse, att man här redan vid denna förhandling lämnar de upplysningar, man kan, så att man icke glömmer det när den gemensamma voteringen kommer, ty annars kan det hända, att denna lilla summa beviljas, och sedan är man under isen med alla de fall, som därefter komma såsom en följd.</w:t>
        <w:br/>
        <w:br/>
        <w:t>Jag ber därför, herr talman, att på det eftertryckligaste få yrka avslag på denna framställning.</w:t>
      </w:r>
    </w:p>
    <w:p>
      <w:pPr>
        <w:pStyle w:val="Heading2"/>
      </w:pPr>
      <w:r>
        <w:t>5. Alfred Petersson (Liberala samlingspartiet, man)</w:t>
      </w:r>
    </w:p>
    <w:p>
      <w:r>
        <w:rPr>
          <w:b w:val="0"/>
        </w:rPr>
        <w:t>Jag förstår ju, att det icke är så synnerligen stora utsikter för att kammaren skall befinnas villig att bifalla vad som här är föreslaget, men icke förty måste jag säga, att det är ett så pass säreget fall, det som nu föreligger, att jag för min del funnit starka billighetsskäl tala för ett bifall till den framställning, som här är gjord. Det är dock så, att de personer, om vilka det här är fråga, faktiskt fått vidkännas en minskning av sina inkomster genom att övergå på den nya staten, och detta just ifall man jämför med varandra den inkomst, de skulle hava haft genom att kvarbliva på den gamla staten, och den inkomst, de fått genom att övergå på</w:t>
        <w:br/>
        <w:br/>
        <w:t>den nya. Övergå de på ny stat, medför det för dem en sammanilagd</w:t>
        <w:br/>
        <w:br/>
        <w:t>görelse till prominskad inkomst under den tid de kunna kvarstå i statens tjänst.</w:t>
        <w:br/>
        <w:br/>
        <w:t>"Sådana fall kunna väl icke sökas upp många. Det är därför jag ansett, att starka billighetsskäl tala för bifall till den nu förevarande</w:t>
        <w:br/>
        <w:br/>
        <w:t>son och A. G. framställningen. Kammaren må ju ändock betänka, att det är gan-</w:t>
        <w:br/>
        <w:br/>
        <w:t>ska hårt för en tjänsteman, och på samma gång eit mycket ovanligt fall, att han genom en löneförbättring får vidkännas en minskning i löneförmånerna, när man sammanräknar hela den tjänstetid, som står kvar.</w:t>
        <w:br/>
        <w:br/>
        <w:t>Då kan man säga: ja, men dessa tjänstemän hade ju kunnat stå kvar på den gamla staten. Men det var väl icke meningen och kan väl icke vara meningen, när man upprättar en ny lönestat, att vederbörande skall få det fördelaktigare genom att stanna kvar på den gamla staten. Meningen är väl ändå att åstadkomma någon löneförbättring, och därtill må man också betänka och fästa avseende vid att den högre pension, som följer med den nya staten, är naturligtvis i viss mån lockande och gör, att vederbörande självfallet gärna går in på ny stat. Jag tror, att man kan gå litet för långt, när man drager ut principerna därhän, att man för principens skull skall avslå förslag, som dock äro i och för sig synnerligen behjärtansvärda. Jag har i varje fall för min del icke kunnat anse det vara skäl att avslå denna framställning, sådan den nu föreligger. Det är att märka, att man har eliminerat bort alla ränteförluster och sådant. Det är också en mycket anspråkslös begäran, och mig vill det förefalla, som om just billighetsskäl talade så starkt för denna framställning, att iag skulle vilia hemställa till kammaren, om kammaren ändå icke trots de principiella invändningar, som kunna göras däremot, skulle anse skäl tala för ett bifall till den gjorda framställningen.</w:t>
      </w:r>
    </w:p>
    <w:p>
      <w:pPr>
        <w:pStyle w:val="Heading2"/>
      </w:pPr>
      <w:r>
        <w:t>6. Emil Kristensson (Socialdemokraterna, man)</w:t>
      </w:r>
    </w:p>
    <w:p>
      <w:r>
        <w:rPr>
          <w:b w:val="0"/>
        </w:rPr>
        <w:t>Jag nödgas att något taga kammarens tid ytterligare i anspråk.</w:t>
        <w:br/>
        <w:br/>
        <w:t>Jag har icke kunnat godkänna den åsikten, att billighetsskäl tala för framställningen. Mig svnes det fast mera, att den lärare, som hade skrivit den av mig förut citerade promemorian, har fullkomligt rätt, då han säger: »Rättvisan synes fordra, att i så fall staten övertager samma skyldighet även gentemot övriga lärare, som förut ingått i denna kassa och själva betalt inträdesavgiften, åtminstone så tillvida att den tilläggsavgift som av dem nu wvtterligare kräves, dem efterskänkes, eller att de få ersättning därför.» Här se vi alltså anspråk framställas från de lärare, som under de gångna åren fått betala avgifter till pensionskassan.</w:t>
        <w:br/>
        <w:br/>
        <w:t xml:space="preserve">Herr Persson i Stallerhult har nyss pekat på, att dessa lärare, som det här är fråga om, hava fått betala mindre avgifter till </w:t>
      </w:r>
      <w:r>
        <w:rPr>
          <w:b/>
        </w:rPr>
        <w:t>änkeoch²</w:t>
      </w:r>
      <w:r>
        <w:rPr>
          <w:b w:val="0"/>
        </w:rPr>
        <w:t xml:space="preserve"> pupillkassan, därför att de kommit in i densamma vid en senare tidpunkt.</w:t>
        <w:br/>
        <w:br/>
        <w:t>Jag har suttit i höst i löneregleringskommittén och deltagit i behandlingen av det stora lönesförlag, som nu snart kommer på riksdagens bord, nämligen löneregleringen för lärarpersonalen vid statens</w:t>
        <w:br/>
        <w:br/>
        <w:t>läroverk, seminarier, folkoch småskolor. Här föreligger bl. a. ett om- Ang gott organisationsförslag av seminarielärarnas ställning, såtillvida att ÅL fyssorerna Tk. skulle uppflyttas från adjunkter till lektorer. Detta förslag göres” sjöström, E naturligtvis för undervisningens skull, men ingalunda för de gamla v. E. Peterslärares som nu äro anställda vid seminarierna. De bliva givetvis icke son och 4. G. alls bättre, vare sig de hava adjunk'sställning eller lektorsställning. Timberg: Jag kan icke heller föreställa mig, att när vid omorganisationen av (Forts.) dessa lantbruksinstitut lärarbefa:tningarna förändrades från lektorat till professurer, detta hade den minsta inverkan beträffande de lärare som från att hava varit lektorer sedermera blevo professorer. Jag antager nämligen, att deras undervisning är lika bra, vare sig de hava titeln lektorer eller professorer. Meningen med uppflyttringen är, att vi skola få dit mera kvalificerade personer, som alltså fylla de större fordringar samhället ställer på dem med hänsyn till den undervisning, som där skall bedrivas. Men beträffande de äldre lärare som det här gäller, så borde riksdagen egentligen icke hava uppflyttat dem i professorsställning, utan snarare låtit dem stå kvar på övergångsstat. För dessa lärare var det emellertid fritt val att övergå eller stå kvar. De hava nu valt att övergå till professorsbefattningen och få titeln professor. Men då få de också själva taga konsekvenserna. Bifaller riksdagen detta nu, så fordrar rättvisan, ast vi skola bifalla liknande framställningar från alla övriga lärare som själva förut betalt inträdesavgiften. Konsekvensen fordrar vidare, att riksdagen vid varje ny lönereglering bifaller dylika framställningar, och det är detta som jag vill varna riksdagen för på det eftertryckligaste. Det blir konsekvenser som vi i denna stund icke kunna överskåda. Jag vidhåller mitt yrkande.</w:t>
      </w:r>
    </w:p>
    <w:p>
      <w:pPr>
        <w:pStyle w:val="Heading2"/>
      </w:pPr>
      <w:r>
        <w:t>7. Wilhelm Björck (Socialdemokraterna, man)</w:t>
      </w:r>
    </w:p>
    <w:p>
      <w:r>
        <w:rPr>
          <w:b w:val="0"/>
        </w:rPr>
        <w:t>När denna fråga var före i riksdagen förra året, tillät jag mig framhålla det oegentliga 1 att dessa tjänstemän, som då voro lektorer, utan vidare uppfiyttades att bliva professorer. Det hade otvivelaktigt varit riktigare att välja den väg som herr Kristensson antydde, nämligen att låta dem kvarstå på övergångsstat. Då jag därvidlag har anledning förmena, att det var billighetsskälen som varit avgörande redan vid detta tillfälle, så tycker jag, att det är oegentligt att än en gång låta dessa billighetsskäl tala för att åt dessa personer skaffa förmåner som rimligen icke böra tillkomma dem.</w:t>
        <w:br/>
        <w:br/>
        <w:t>Under sådana förhållanden och då. såsom av den ärade talaren på Skaraborgsbänken framhölls, 'konsekvenserna skulle bliva synnerligen betänkliga, om Kungl. Maj:ts förslag bifölles, kan jag för min del icke vara med om att tillstyrka utskottets förslag utan måi ST att detta förslag avslås och i stället reservationen</w:t>
        <w:br/>
        <w:br/>
        <w:t>kan klandra honom för det. Men det hindrar icke, att riksdagen kan göra undantag, där verkliga skäl föreligga. Emellertid var det icke detta jag ämnade säga, utan jag uppkallades av ett yttrande av herr Persson i Stallerhult.</w:t>
        <w:br/>
        <w:br/>
        <w:t>Han tycktes, såvitt jag kunde förstå, hava det emot förslaget, att de som nu äro i fråga voro högre tiänstemän. Däremot tycktes han icke ha haft så mycket emot att bifalla förslaget, därest det hade varit fråga om lägre tjänstemän. Är så förhållandet, vill jag fråga: hur skulle det taga sig ut, om det till riksdagen kommer framställningar där det gäller alldeles 'likartade &lt;förhållanden för lägre tjänstemän, i fall riksdagen skulle avslå de förevarande framställningarna och bifalla de senare? Här är ju fråga om små belopp, så att det betyder ingenting ur ekomomisk synpunkt för staten. Men det har just den betydelsen, att man härigenom skulle skapa ett prejudikat, att dylika löneminskningar icke få förekomma för några tjänstemän som övergå på ny stat. Jag tror, att det finnes nog billighetsskäl i detta fall, och jag tror, att det kan komma fall där kanske behovet är mera trängande än i detta fall. Hur skall då riksdagen ställa sig till dessa? Skall man då avslå dem? Skall man hålla på principerna, så måste man naturligtvis göra det.</w:t>
        <w:br/>
        <w:br/>
        <w:t>Jag vidhåller mitt yrkande om bifall till utskottets förslag.</w:t>
        <w:br/>
        <w:br/>
        <w:t xml:space="preserve">vid Stockholms norra station </w:t>
      </w:r>
      <w:r>
        <w:rPr>
          <w:b/>
        </w:rPr>
        <w:t>änkan²</w:t>
      </w:r>
      <w:r>
        <w:rPr>
          <w:b w:val="0"/>
        </w:rPr>
        <w:t xml:space="preserve"> Kristina Holmgren av ett årligt understöd av 500 kronor att utgå av trafikmedel hemställde bankoutskottet, till vars behandling ifrågavarande motion hänvisats, att riksdagen mätte, medgiva, att till f. d. städerskan vid Stockholms norra station </w:t>
      </w:r>
      <w:r>
        <w:rPr>
          <w:b/>
        </w:rPr>
        <w:t>änkan²</w:t>
      </w:r>
      <w:r>
        <w:rPr>
          <w:b w:val="0"/>
        </w:rPr>
        <w:t xml:space="preserve"> Kristina Holmgren finge från och med år 1918 under </w:t>
      </w:r>
      <w:r>
        <w:rPr>
          <w:b/>
        </w:rPr>
        <w:t>hennes²</w:t>
      </w:r>
      <w:r>
        <w:rPr>
          <w:b w:val="0"/>
        </w:rPr>
        <w:t xml:space="preserve"> återstående livstid av trafikmedel utgå ett understöd av</w:t>
      </w:r>
    </w:p>
    <w:p>
      <w:pPr>
        <w:pStyle w:val="Heading2"/>
      </w:pPr>
      <w:r>
        <w:t>8. Ernst Eriksson (Socialdemokraterna, man)</w:t>
      </w:r>
    </w:p>
    <w:p>
      <w:r>
        <w:rPr>
          <w:b w:val="0"/>
        </w:rPr>
        <w:t>Herr vice talman! Såsom framgår av detta bankoutskottets utlåtande, har jag tillåtit mig</w:t>
        <w:br/>
        <w:br/>
        <w:t>väcka en motion, vari hemställes, att riksdagen måtte besluta att</w:t>
        <w:br/>
        <w:br/>
        <w:t xml:space="preserve">till f. d. städerskan vid Stockholms norra station Kristina Holmgren må under </w:t>
      </w:r>
      <w:r>
        <w:rPr>
          <w:b/>
        </w:rPr>
        <w:t>hennes²</w:t>
      </w:r>
      <w:r>
        <w:rPr>
          <w:b w:val="0"/>
        </w:rPr>
        <w:t xml:space="preserve"> återstående livstid av trafikmedel utgå ett understöd från och med år 1918 av 500 kronor årligen. Avsikten med denna motion har varit att bereda en statens trotjänare i underordnad ställning en om ock ringa hjälp, så att </w:t>
      </w:r>
      <w:r>
        <w:rPr>
          <w:b/>
        </w:rPr>
        <w:t>hon²</w:t>
      </w:r>
      <w:r>
        <w:rPr>
          <w:b w:val="0"/>
        </w:rPr>
        <w:t xml:space="preserve"> vid sin levnads höst kan finna en nödtorftig bärgning.</w:t>
        <w:br/>
        <w:br/>
        <w:t xml:space="preserve">Jag är för min del tacksam för den ställning som utskottet intagit till denna min motion. Då utskottet föreslår, att riksdagen må bevilja </w:t>
      </w:r>
      <w:r>
        <w:rPr>
          <w:b/>
        </w:rPr>
        <w:t>änkan²</w:t>
      </w:r>
      <w:r>
        <w:rPr>
          <w:b w:val="0"/>
        </w:rPr>
        <w:t xml:space="preserve"> Holmgren ett årligt understöd, har utskottet därvid givit mig rätt i sak, nämligen att i förevarande fall staten såsom arbetsgivare har skyldigheter gentemot en av arbete utsliten befattningshavare. Då detta gäller en person tillhörande en befattningshavaregrupp, vars löneoch anställningsförhållanden icke av vederbörande tillbörligt beaktats, är jag sålunda tacksam mot utskottet med hänsyn till dess ställning i sakfrågan.</w:t>
        <w:br/>
        <w:br/>
        <w:t>Det oaktat anser jag mig böra här polemisera mot utskottet. Utskottet har nämligen icke ansett sig böra hemställa om bifall till i min motion föreslaget belopp av understöd, 500 kronor, utan nedprutat detsamma till 400 kronor, en nedprutning som jag anser icke hade bort ifrågakomma.</w:t>
        <w:br/>
        <w:br/>
        <w:t>Jag vill ingalunda göra gällande, att utskottet vid sin behandling av frågan icke tillräckligt tagit hänsyn till i min motion</w:t>
        <w:br/>
        <w:br/>
        <w:t>framförda omständigheter. Men det synes mig med hänsyn till :</w:t>
        <w:br/>
        <w:br/>
        <w:t>vad som anföres såsom motivering för det föreslagna beloppet, som om utskottet tagit väl mycket hänsyn till konsekvensskäl. Utskottet åberopar nämligen, att utskottet till förra städerskan vid telegrafverket Märta Söderlund tillstyrkt ett årligt understöd av 400 kronor, och anser därför, att detta belopp även i här förevarande</w:t>
        <w:br/>
        <w:br/>
        <w:t xml:space="preserve">fall är skäligt. Det synes mig dock, som utskottet härvid förbisett, att nämnda Söderlund varit anställd i statens tjänst allenast sedan år 1895, alltså i 22 år, medan </w:t>
      </w:r>
      <w:r>
        <w:rPr>
          <w:b/>
        </w:rPr>
        <w:t>änkan²</w:t>
      </w:r>
      <w:r>
        <w:rPr>
          <w:b w:val="0"/>
        </w:rPr>
        <w:t xml:space="preserve"> Holmgren varit anställd vid statens järnvägar sedan år 1881, således i 36 år. Detta synes mig böra tala för att riksdagen bör åt </w:t>
      </w:r>
      <w:r>
        <w:rPr>
          <w:b/>
        </w:rPr>
        <w:t>änkan²</w:t>
      </w:r>
      <w:r>
        <w:rPr>
          <w:b w:val="0"/>
        </w:rPr>
        <w:t xml:space="preserve"> Holmgren bevilja ett något högre belopp än åt Söderlund, eller med andra ord, att riksdagen borde bifalla det belopp, som jag tillåtit mig föreslå i motionen.</w:t>
        <w:br/>
        <w:br/>
        <w:t xml:space="preserve">Då jag personligen känner </w:t>
      </w:r>
      <w:r>
        <w:rPr>
          <w:b/>
        </w:rPr>
        <w:t>änkan²</w:t>
      </w:r>
      <w:r>
        <w:rPr>
          <w:b w:val="0"/>
        </w:rPr>
        <w:t xml:space="preserve"> Holmgren, är det möjligt, att jag i fallet anlägger mera av ömmande känslor än vad utskottet kunnat göra. Jag vill dock påpeka, att jag finner det av utskottet föreslagna beloppet alltför lågt och icke ägnat att medföra det avsedda resultatet, nämligen att giva vederbörande en nödtorftig bärgning. Jag tillåter mig i detta avseende framhålla, att det gäller en nära 70-årig </w:t>
      </w:r>
      <w:r>
        <w:rPr>
          <w:b/>
        </w:rPr>
        <w:t>kvinna¹</w:t>
      </w:r>
      <w:r>
        <w:rPr>
          <w:b w:val="0"/>
        </w:rPr>
        <w:t xml:space="preserve">, som enligt av kungl. järnvägsstyrelsen åberopat läkareintyg lider av kroniskt bensår å båda benen och som till följd därav och på grund av nedsatta kroppskrafter är oförmögen att med arbete bidraga till sin försörjning. Jag tror också, att det är med rättvisa och billighet överensstämmande, om riksdagen beslutar, att </w:t>
      </w:r>
      <w:r>
        <w:rPr>
          <w:b/>
        </w:rPr>
        <w:t>hon²</w:t>
      </w:r>
      <w:r>
        <w:rPr>
          <w:b w:val="0"/>
        </w:rPr>
        <w:t xml:space="preserve"> må tillerkännas ett understöd av 300 kronor årligen, och jag vågar därför vädja till kammaren att bifalla detta förslag.</w:t>
        <w:br/>
        <w:br/>
        <w:t>På grund härav tillåter jag mig, herr talman, att yrka avslag å utskottets hemställan och bifall till den vid utskottets utlåtande fogade reservationen.</w:t>
      </w:r>
    </w:p>
    <w:p>
      <w:pPr>
        <w:pStyle w:val="Heading2"/>
      </w:pPr>
      <w:r>
        <w:t>9. Herman Carlson (Liberala samlingspartiet, man)</w:t>
      </w:r>
    </w:p>
    <w:p>
      <w:r>
        <w:rPr>
          <w:b w:val="0"/>
        </w:rPr>
        <w:t>Då det gäller att taga ställning till en sådan fråga, är det så många skäl som föras fram för och emot, att det är ganska svårt att avgöra vad som är det riktiga. men man måste i dylika fall ovillkorligen göra jämförelse med andra personer, som haft liknande sysselsättning och ungefär lika lång tjänstetid. Nu har det under fiera år varit så, att grovarbetare som varit sysselsatta viss-tid i statens tjänst fått sin pension fastställd till 300 kronor, men jag tror, att man för några år sedan höjt detta belopp till 400. Sedermera har riksdagen också beviljat pension åt vissa städerskor vid statens verk, och mig veterligt ha dessa inte kommit högre än till 400 kronor.</w:t>
        <w:br/>
        <w:br/>
        <w:t xml:space="preserve">Nu är det viserligen sant, att denna </w:t>
      </w:r>
      <w:r>
        <w:rPr>
          <w:b/>
        </w:rPr>
        <w:t>städerska³</w:t>
      </w:r>
      <w:r>
        <w:rPr>
          <w:b w:val="0"/>
        </w:rPr>
        <w:t xml:space="preserve">, som det här är fråga om, i omkring 36 år haft anställning som rumsstäderska vid Stockholms norra station etc., men jag kan ändå inte finna, att detta är något så starkt talande skäl för att </w:t>
      </w:r>
      <w:r>
        <w:rPr>
          <w:b/>
        </w:rPr>
        <w:t>hon²</w:t>
      </w:r>
      <w:r>
        <w:rPr>
          <w:b w:val="0"/>
        </w:rPr>
        <w:t xml:space="preserve"> skall ha högre pension än städerskan vid telegrafverket, Märta Söderlund, åt vilken riksdagen beviljat en pension av 400 kronor. Jag anser därför inte med billighet och rättvisa överensstämmande, att denna </w:t>
      </w:r>
      <w:r>
        <w:rPr>
          <w:b/>
        </w:rPr>
        <w:t>änka²</w:t>
      </w:r>
      <w:r>
        <w:rPr>
          <w:b w:val="0"/>
        </w:rPr>
        <w:t xml:space="preserve"> Holmgren skall få 100 kronor mera än Märta Söderlund, utan anser för min del rättvisan härvidlag bjuda, att båda ställas lika i pensionshänseende, varpå också utskottets förslag går ut, och jag ber sålunda, herr talman,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1379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