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1395</w:t>
      </w:r>
    </w:p>
    <w:p>
      <w:r>
        <w:rPr>
          <w:b/>
        </w:rPr>
        <w:t xml:space="preserve">Datum: </w:t>
      </w:r>
      <w:r>
        <w:t>1918-05-10</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Wilhelm Källman (Socialdemokraterna, man)</w:t>
      </w:r>
    </w:p>
    <w:p>
      <w:r>
        <w:rPr>
          <w:b w:val="0"/>
        </w:rPr>
        <w:t>Herr talman, mina herrar! Jag tager för givet, att andra kammaren finner denna fråga så pass viktig, att man bör ägna densamma några ord under principdebatten.</w:t>
        <w:br/>
        <w:br/>
        <w:t xml:space="preserve">Det bör då till en början erinras därom, att fattigvårdslagstiftningens historia är i allmänhet en historia om nöd och lidande. Från den äldre tiden, då de fria hade rätt att, om de så önskade, försörja trälarna, sedan arbetsförmågan upphört, eller döda dem, och till 1847 existerade för den fattige knappast rätten till livet. Tiden 1847—1871 var på sätt och vis en ljusare period för understödstagarna med hänsyn därtill, att under denna period enligt svensk fattigvårdslag existerade rätt till understöd. Sistnämnda år togs rätten till understöd tillbaka, och som bekant gäller ännu i dag förordningen av den 9 juni 1871. Jag vågar icke taga upp tiden med att giva exempel på, hur omänskligt denna lag ofta kan tillämpas. Det må dock tillåtas mig att anföra ett enda, mycket bekant exempel på hur paragraf 1 i fattigvårdsförordningen av den 9 juni 1871 kunnat tolkas. Det förekom i en socken för övrigt i Stockholms län, en familj, bestående av man, </w:t>
      </w:r>
      <w:r>
        <w:rPr>
          <w:b/>
        </w:rPr>
        <w:t>hustru²</w:t>
      </w:r>
      <w:r>
        <w:rPr>
          <w:b w:val="0"/>
        </w:rPr>
        <w:t xml:space="preserve"> och 8 minderåriga barn. Mannen och ett av barnen voro sjuka och var familjen i saknad av egna medel. Fattigvård måste självfallet lämnas till familjen i fråga, och då denna icke ägde hemortsrätt i den</w:t>
        <w:br/>
        <w:br/>
        <w:t xml:space="preserve">kommun, där den vistades, uppstod naturligtvis process om huruvida understödet kunde utsökas av hemortskommunen. Sedan ärendet passerat alla instanser, beslöts av Kungl. Maj:t, som på den tiden var högsta instans i fattigvårdsmål, att vistelsekommunen icke kunde tillerkännas ersättning av hemortskommunen med hänsyn därtill, att </w:t>
      </w:r>
      <w:r>
        <w:rPr>
          <w:b/>
        </w:rPr>
        <w:t>hustrun²</w:t>
      </w:r>
      <w:r>
        <w:rPr>
          <w:b w:val="0"/>
        </w:rPr>
        <w:t>, som var 36 år gammal, icke med läkarbetyg styrkts vara oförmögen till arbete. :</w:t>
        <w:br/>
        <w:br/>
        <w:t>Det är tydligt, att en lag, som kan tolkas på det sättet, är fullkomligt omänsklig, och detta är också från alla håll erkänt, så att jag behöver icke taga upp tiden med att bevisa det.</w:t>
        <w:br/>
        <w:br/>
        <w:t>Därnäst skall jag, innan jag går in på lagförslaget, tillåta mig erinra om att det här gäller att lagstifta om ett icke så obetydligt antal personer. Enligt den för år 1915 numera tillgängliga officiella fattigvårdsståtistiken visar det sig, att under nämnda år antalet understödstagare uppgick till 262,254 eller 4,59 2 av vår befolkning. Det är märkligt, att antalet understödstagare har löpt ungefär jämsides med befolkningens tillväxt. Jag vill nämna, att år 1874 var antalet understödstagare 191,393, vilket utgjorde 4,39 &amp; av befolkningen. Av förstnämnda antal understödstagare voro 87,128 fullt och varaktigt försörjda, 119,119 delvis, men varaktigt försörjda och 56,007 tillfälligt understödda. Jag är övertygad om att man åtminstone i andra kammaren numera icke står likgiltig inför frågan, huru och på vilket sätt man lagstiftar om alla dessa människor.</w:t>
        <w:br/>
        <w:br/>
        <w:t>När det gäller att överväga om en ny fattigvårdslag i vår tid, bör man först söka komma underfund med huruvida, såsom det påyrkats från flera håll, fattigvården i den form, vi känna den, kan avskaffas och ersättas med annan försörjningsform. Den frågan har berörts både i fattigvårdslagstiftningskommitténs förslag och även i Kungl. Maj:ts proposition. Man har där erinrat om hurusom en minoritet inom Englands fattigvårdslagstiftningskommitté år 1909 bestämt påyrkade, att fattigvården i den. form, varmed vi förstå den, skulle avskaffas och ersättas av andra metoder för försörjning av behövande. Vården av de icke arbetsföra skulle utövas av 4 utav grevskapen utsedda nämnder, vilka skulle var för sig få sina sSpeciella uppgifter. I Danmark är visserligen icke fattigvården avskaffad, men där har man för vissa understödstagare en bättre form för försörjning, en försörjning av s. k. värdiga understödstagare. Jag hinner icke närmare gå in på detta. För vårt vidkommande — och den uppfattningen har man väl även i andra länder — måste ju målet vara, att fattigvården så fort som möjligt må i det allra väsentligaste avskaffas. Jag är för min del övertygad om att det bör kunna ske dels genom socialförsäkringens fullbordande och dels genom vissa reformer på olika områden, varmed riksdagen nog undan för undan kommer att få syssla. I den mån man får en förbättrad ålderdomsoch invaliditetsförsäkring och när vi få obligatorisk sjukoch arbetslöshetsförsäkring samt olycksfallsförsäkringen vidare i någon mån blir påbyggd och förbättrad, ha vi fått medel, varigenom flertalet må kunna erhålla sin försörjning utan anlitande av fattigvården. Det är emellertid långt dit, och utan tvivel måste</w:t>
        <w:br/>
        <w:br/>
        <w:t>vi räkna med en försörjning enligt de begrepp, som den nuvarande fattigvårdslagstiftningen innefattar, för en rätt lång tid framåt 1 varje fall minst en mansålder.</w:t>
        <w:br/>
        <w:br/>
        <w:t>Det förslag, som nu föreligger till kammarens behandling innebär enligt min uppfattning ett mycket betydande framsteg. Men Jag betonar på samma gång, att förslaget innehåller minimikrav, och att man icke kan pruta på någon av de väsentliga reformer, som lagförslaget innebär. Då vore det enligt min mening bittre att vänta några år och bida tiden, tills dessa betvdande delar komma med. Jag erinrar då särskilt om vissa punkter, där man reservationsvis yrkat avslag, på vilka punkter jag tar för givet, att första kammaren kommer att fatta ett annat beslut än vad andra kammaren kommer att göra. Emellertid bör fattigvården, så länge den måste finnas — såsom ju också departementschefen framhållit — vara av subsidiär natur. Den bör icke tillgripas, förrän andra utvägar äro försökta, och därav följer ju, att man har möjlighet att undan för undan åstadkomma reformer, varigenom fattigvården allt mer och mer minskas, utan att fattigvårdslagen för den skull behöver ändras.</w:t>
        <w:br/>
        <w:br/>
        <w:t>Jag skall, innan jag pekar på några av förslagets mest betydelsefulla förtjänster tillåta mig göra en erinran mot en mycket betydande bristfällighet, som enligt min mening vidlåder förslaget. Denna bristfällighet träffa vi vid den nu föredragna 5 8. Förutsättningen för att våra kommuner skola vara i tillfälle att meddela erforderlig vård åt behövande, är, såvitt jag förstår, att fattigvårdssamhället har sådan bärkraft, att kostnaderna därför kunna bäras. En kommun med ett relativt obetydligt antal innevånare och med en hög skattebelastning, kan icke, även om där finnes god vilja, uppfylla en human fattigvårdslagstiftnings föreskrifter. Det är en märklig erfarenhet — om man studerar fattigvårdens historia — att denna angelägenhet observerats redan så tidigt som på 1600-talet. Enligt fattigvårdslagstiftningskommitténs betänkande del II meddelas på sid. 29, att 1 det s. k. Drottning Kristinas förslag till fattigvårdslag 1650 yttras bl. a.: »Förslaget hade även förutsett det fall, att ”någon socken så fattig ähr, att han icke förmår alla sina fattige att underhålla”, då fattigbördan skulle fördelas på häradet av häradshövdingen med nämnden.» Jag är för min del mycket bekymrad över att man i fattigvårdslagstiftningskommittén alldeles för lätt gått förbi detta viktiga spörsmål, då jag är övertygad om att saken förtjänat en betydligt större uppmärksamhet än vad den tillmätts av kommittén. Om man granskar våra kommuner, finner man, att över 1,000 kommuner ha mindre innevånareantal än 1,000 — mer än 44 4 av rikets kommuner hava nämligen ett mindre innevånareantal än 1,000 — och härav framgår, att ett betydande antal av våra fattigvårdssamhällen saknar de ekonomiska förutsättningarna för att på föreskrivet sätt kunna följa en human fattigvårdslag. Det är därför önskvärt att få större fattigvårdssamhällen, vilket också skulle innebära, att kostnaderna utjämnades på samma gång fattigvårdsprocesserna nästan försvunne. Men nu gäller det ock andra kommunala bördor än utgifterna för fattigvården, och därför hava icke ens vi, som äro</w:t>
        <w:br/>
        <w:br/>
        <w:t>reservanter på denna punkt, vågat oss på att yrka avslag. Ty det är icke ensamt fattigvårdsbördan, som trycker hårt, utan det är också andra bördor, som äro rätt tunga. Det kunde ju inträffa, att, om man åstadkomme större fattigvårdssamhällen, men samtidigt läte varje kommun var för sig bära alla kostnader för t. ex. skolväsendet, en hel del kommuner finge ökad beskattning. Den saken är för mig alldeles uppenbar, och jag skall tillåta mig nämna ett par exempel därpå. Jag har hämtat några siffror ur skatteutjämningskommitténs betänkande år 1916, varav detta tydligt framgår. En kommun t. ex. Adelsö socken i Stockholms län, som år 1915 hade en skatt av 10 kronor, utdebiterade för den borgerliga kommunen endast 4 kr. 20 öre. Alltså gick större delen av skatten till kyrka och skola. En annan kommun i Stockholms län, Skånella socken, som samma år utdebiterade 10 kr. 10 öre, behövde av detta belopp endast 3 kr. 70 öre till den borgerliga kommunen. Ännu värre ter det sig med ett par Gottlandskommuner. Där har jag t. ex. Buttle socken, som det året hade en skatt på 16 kr. 94 öre. Den behövde endast 5 kr. 40 öre för den borgerliga kommunen. ANt det övriga krävde kyrka och skola. Sedan ha vi Lojsta kommun på Gottland, som hade en skatt av 28 kr. 30 öre. Den använde endast 7 kr. 50 öre till den borgerliga kommunen. Men så kunna vi också se exempel på vad fattigvården kostar ensamt eller som viktigaste utgiftspost i vissa kommuner. I Täby socken av Östergötlands län, där skatten utgick med 8 kr. 70 öre, behövdes 6 kr. för den borgerliga kommunen, i Hallaryds socken av Kronobergs län, där skatten utgick med 15 kr. 20 öre, användes 9 kr. 60 öre för den borgerliga kommunen, i Rolfstorps socken av Hallands län, där skatten nämnda år uppgick till 18 kr. 25 öre, behövdes icke mindre än 13 kr. 50 öre för den borgerliga kommunen och slutligen i Sexdrega socken av Älvsborgs län, där skatten utgick med 27 kr., användes icke mindre än 17 kr. för den borgerliga kommunen. Dessa siffror visa, att en utjämning av de kommunala bördorna allenast beträffande fattigvården icke löser problemet, men det visar också, att i ett betydande antal kommuner — och detta gäller alltid små kommuner — är fattigvårdsbördan ensamt tillräcklig för att rätt hårt nedtrycka beskattningsobjekten i en kommun.</w:t>
        <w:br/>
        <w:br/>
        <w:t>Nu hava vi, två ledamöter av särskilda utskottet, reservationsvis hemställt, att riksdagen måtte begära en utredning i nu förevarande fråga. Efter anförande av en del skäl därför säga vi: »Då vi, trots vår bestämda mening om det oriktiga uti att primärkommunerna fortfarande bibehållas som fattigvårdssamhällen, icke framställa definitiva yrkanden om ändring eller hemställa om avslag med begäran om nytt förslag i överensstämmelse med vår uppfattning i frågan, som överensstämmer med herr Hults motion, beror detta framför allt därpå, att behovet av en utjämning i de kommunala bördorna icke inskränker sig allenast till fattigvårdens område. Och att vänta med att erhålla ny fattigvårdslag till dess hela detta problem blir utrett är enligt vår mening icke möjligt.&gt; TI fråga om den metod, som skulle användas för att nå det mål, vi önska, är</w:t>
        <w:br/>
        <w:br/>
        <w:t>det uppenbart, att man nu icke utan utredning kan uppvisa den. En utredning härom är därför mycket behövlig. Vi hava klart för oss, att de små kommunerna i allmänhet äro oförmögna att på rätt sätt ombesörja fattigvården, men äro icke nu i tillfälle att anvisa de medel som erfordras för avhjälpande av denna brist. Visserligen ger 6 $ i lagförslaget möjligheter till en frivillig sammanslagning av kommuner, men om vi känna våra kommuner rätt, kunna vi nog vara överens om att en frivillig sammanslagning i allmänhet icke kommer att genomföras. Och för övrigt om man sammanslår ett par tre kommuner, är frågan lika litet löst därmed.</w:t>
        <w:br/>
        <w:br/>
        <w:t>Om man tänker på ett län som Gottlands län, där vi ha 92 kommuner, och där medeltalet invånare i varje kommun inskränker sig till mellan 400 och 500, förstår man, att det är ganska meningslöst att sammansluta två, tre eller fyra av dessa kommuner. De få i varje fall inte den erforderliga ekonomiska bärkraften. Det måste såvitt jag förstår, tillgripas en tvångssammanslagning av kommuner, såvida man inte kan åstadkomma någon annan kommunal form för fattigvårdens utövande. Man kan ju tänka sig, och vi ha också pekat på det, att landstinget i allt väsentligt övertoge kostnaderna och fördelade dem på länets samtliga kommunala skatteobjekt. Men det är en sak, som enligt vår mening bör tillhöra utredningen. Vi ha också haft anledning att nu fästa uppmärksamheten på det föreliggande kommittéförslaget om kommunala nybildningar, som borde komma under behandling på samma gång man slutgiltigt upptager till lösning frågan om fattigvårdssamhällenas storlek.</w:t>
        <w:br/>
        <w:br/>
        <w:t>Beträffande det sätt, på vilket man skulle gå tillväga, hänvisar jag till vad reservanterna anföra på sid. 89, där de säga:</w:t>
        <w:br/>
        <w:br/>
        <w:t>»Av vad här i korthet anförts torde framgå att frågan om en rättvis utjämning av de kommunala bördorna är en synnerligen invecklad och omfattande fråga vilken lämpligast borde lösas i ett sammanhang. Särskilt borde därvid noga övervägas om icke en tvångssammanslutning av de mindre kommunerna vore av behovet påkallad. Mindre kommunala enheter, med de uppgifter som åligga en svensk kommun, borde icke få förekomma än att invånareantalet uppgick till cirka 5,000.</w:t>
        <w:br/>
        <w:br/>
        <w:t>Därmed löstes emellertid icke frågan om fattigvårdsprocessernas avlägsnande. De kunna endast i allt väsentligt försvinna i samband därmed att betydligt större område än en medelstor kommun sammanföres till fattigvårdssamhälle.»</w:t>
        <w:br/>
        <w:br/>
        <w:t>Ja, frågan om fattigvårdsprocesserna är ju ett mycket viktigt kapitel. Det vore väl av betydelse. om man kunde finna någon form för att slippa att processa om gamla utslitna, fattiga människor. Det är sannerligen inte så trevligt att syssla med sådana saker som att undan för undan få tvista med andra kommuner om understödstagares hemortsrätt. om huruvida understöd utgår enligt 1 $, om kommunen bör tillförbindas ersättningsskyldighet efter andra grunder 0. 8. Vv.. 0. s. v.. och nog vore det väl en humanitär åtgärd av betydelse att söka utfinna en form för att slinpa processandet om människor. Jag är övertygad om att man i denna kammare haft anledning att</w:t>
        <w:br/>
        <w:br/>
        <w:t>tidigare fästa sig vid dessa synpunkter, som jag här i korthet har antytt, och jag hoppas, att det skall finnas så pass stort intresse för att denna fråga kommer under en allsidig utredning, att kammaren skall gå med på vårt skrivelseförslag.</w:t>
        <w:br/>
        <w:br/>
        <w:t>Jag skall efter detta tillåta mig att med några korta ord peka på några av förslagets viktigaste förtjänster. Det blir, som sagt, i all korthet för att inte ta upp för mycken tid.</w:t>
        <w:br/>
        <w:br/>
        <w:t>Den viktigaste reformen sammanhänger helt naturligt med utvidgningen av förslagets 1 $. Enligt den nuvarande fattigvårdsförordningens 1 $ är man ju inte skyldig att lämna fattigvård i andra än vissa alldeles särskilda fall, och icke i större omfattning än vad som oundgängligen erfordras till livets uppehallande, som det heter. Vi veta ju, att enligt paragrafens innehåll en kommuns fattigvårdsstyrelse näppeligen kan åläggas att bestrida fattigvård åt någon, såvida det inte gäller en minderårig, som saknar försörjningspliktiga anhöriga, eller också någon vuxen, som med stöd av läkarbetyg kan visa sig oförmögen till arbete och som är fullständigt utblottad och i saknad av försörjningspliktiga anhöriga. I andra fall är det inte förenligt med $ 1 att lämna understöd.</w:t>
        <w:br/>
        <w:br/>
        <w:t>Nu framhåller kommittén i sitt betänkande, att »rätten till fattigvård och skyldigheten att lämna sådan måste hänföra sig till det verkligen förefintliga behovet och kan ej bortfalla därigenom, att enskild person finnes, som enligt lagen har skyldighet att försörja den behövande, men ej vill eller kan fullgöra sin skyldighet. Det avgörande måste här vara, huruvida den behövande själv befinner sig i sådant faktiskt nödläge, att fattigvård bör meddelas. Härav föl-. Jer ock att fattigvård, som utgår, är att anse som lämnad åt den nödställde personligen. Om t. ex. denne är minderårig, bliva sålunda ej hans föräldrar att betrakta som understödstagare, med mindre de själva erhållit del av understödet.&gt; Och kommittén inskränker rätten till fattigvård allenast i de fall, där vederbörande är arbetsför, men detta får icke förstås så, att det skall vara fråga om absolut oförmåga till arbete. I detta fall har Kungl. Maj:ts proposition i någon mån inskränkt kommitténs förslag. Uttrycket »av annan anledning», som ju kunde hänföra sig till varje faktiskt nödläge, har strukits och man har ersatt det med en annan mera inskränkande bestämmelse. Jag har för min del framburit en motion, vari jag yrkar bifall till det förslag, som kommittén ursprungligen framställt, men jag har avstått tran att anföra reservation. sedan ett tillägg gjorts till $ 2, varmed man enligt min mening i allt väsentligt vinner det som kommitténs förslag åsyftade. Innebörden utav paragrafen betecknar sålunda enligt min mening ett betydande framsteg. Till det kommer, att också i samma paragraf 1 minderårighetsgränsen höjts från femton till sexton år. Därom råder emellertid ingalunda enighet inom utskottet. Inte mindre än 5 av högerns män i särskilda utskottet ha reservationsvis yrkat, att minderårighetsgränsen bestämmes till femton år. Jag hoppas att denna kammare i varje fall icke skall bifalla reservationen. När vi komma till behandlingen av 1 $, blir det sannolikt anledning att något närmare redogöra</w:t>
        <w:br/>
        <w:br/>
        <w:t>för de skäl som tala för att minderårighetsgränsen bör höjas till sexton år.</w:t>
        <w:br/>
        <w:br/>
        <w:t>Jag betraktar det också såsom ett icke obetydligt framsteg, att man i varje kommun får en särskild fattigvårdsstyrelse och att vid val av denna enligt den kungl. propositionen lika rösträtt kommer att tillämpas.</w:t>
        <w:br/>
        <w:br/>
        <w:t xml:space="preserve">Vidare bör det betraktas såsom ett framsteg att i den kungl. propositionen föreslagits, att en </w:t>
      </w:r>
      <w:r>
        <w:rPr>
          <w:b/>
        </w:rPr>
        <w:t>kvinna¹</w:t>
      </w:r>
      <w:r>
        <w:rPr>
          <w:b w:val="0"/>
        </w:rPr>
        <w:t xml:space="preserve"> ovillkorligen skall vara med såsom ledamot av fattigvårdsstyrelsen. »Skall» är visserligen av utskottet ändrat till »bör», men jag hoppas, att riksdagen skall gå med på att en </w:t>
      </w:r>
      <w:r>
        <w:rPr>
          <w:b/>
        </w:rPr>
        <w:t>kvinna¹</w:t>
      </w:r>
      <w:r>
        <w:rPr>
          <w:b w:val="0"/>
        </w:rPr>
        <w:t xml:space="preserve"> obligatoriskt inväljes i varje fattigvårdsstyrelse.</w:t>
        <w:br/>
        <w:br/>
        <w:t>Det är mycket angenämt att finna av kommittébetänkandet, att beträffande en tidigare mycket omtvistad fråga den statliga inspektionen, ingen reservation föreligger, liksom inga delade meningar härom rådde i utskottet, utan har man kommit fram till det resultat, att alla anse en sådan inspektion önskvärd som den utav kommittén föreslagna, utvidgad på det sätt den kungl. propositionen föreslår.</w:t>
        <w:br/>
        <w:br/>
        <w:t>Statens och landstingens övertagande utav en del kostnader, framför allt då för specialsjukvården, innebär ju också i någon mån en utjämning utav kostnaderna för fattigvården inom »primärkommunerna, men det innebär på samma gång en humanitär åtgärd emot alla dem, som äro i behov av ansvarsförbindelse för att komma in på sjukhus och som hittills fått mycket ofta tigga och be rätt mycket hos kommunalordföranden för att kunna erhålla sådan. Det är således även en humanitär reform detta, och icke allenast en utjämningsfråga.</w:t>
        <w:br/>
        <w:br/>
        <w:t>Vidare har utskottet föreslagit en skrivelse, vari man hemställer om ökat statsbidrag för hela denna sjukvårdande verksamhet. Så har utskottet enhälligt tillstyrkt Kungl. Maj:ts förslag i fråga om att kommunerna äro skyldiga att ha anstalt, ålderdomshem eller dylikt, och jag erinrar om hur behövligt detta är, då det framgår av den officiella statistiken, att inte mindre än omkring 350 kommuner år 1915 voro i saknad av varje slag av anstalt. Det är uppenbart, att detta då är en reform utav värde.</w:t>
        <w:br/>
        <w:br/>
        <w:t>Jag hoppas livligt, att denna kammare åtminstone skall gå med på det reservationsvis framförda förslaget vid 32 $, att vid de olika anstalterna skall finnas lämplig personal, så att inte, som nu förekommer mångenstädes, man har en föreståndare eller föreståndarinna, som inte på något sätt förstår sin uppgift. Jag hoppas, som sagt, att denna reservation kommer att bifallas av denna kammare.</w:t>
        <w:br/>
        <w:br/>
        <w:t>Vidare har utskottet tillstyrkt förslaget om att arbetshem skola inrättas genom landstingen eller vissa städer. Därigenom få våra kommuner en god hjälp med de bråkiga element bland understödstagare, som vi inte kunna undgå, och det måste betraktas såsom mycket värdefullt.</w:t>
        <w:br/>
        <w:br/>
        <w:t>I fråga om hemortsrätten har ju hos alla, som haft ätt yttra sig över kommitténs förslag, rått mycket delade meningar. Jag har för min del från början ingalunda varit någon okritisk anhängare av kommitténs förslag, som innebär, att den faktiska mantalsskrivningen skall ligga till grund för hemortsrätten, och som vidare innebär, att man förvärvar hemortsrätt efter ett år utan vidare och med bortseende från allt, som förekommit tidigare i vare sig den kommun där man bor eller i en annan kommun. Men har man än vänder den saken, ser det hopplöst ut att komma fram på någon annan väg än Kungl. Maj:ts förslag, förordat av utskottet. Jag är övertygad om att om den reservation bifalles, som är avgiven av herr Hederstierna, komma svårigheterna ingalunda att bli mindre, än om Kungl. Maj:ts förslag bifalles oförändrat.</w:t>
        <w:br/>
        <w:br/>
        <w:t>I fråga om fattigvårdssamhälles rätt mot understödstagare är att framhålla, att ersättningsskyldigheten visserligen bibehålles, men det bör också betonas, att detta är nödvändigt, ty eljest skulle ju praktiskt taget försörjningsplikten upphävas. Och det föreställer jag mig ingalunda kan vara riksdagens avsikt. Med den begränsning, som är föreskriven i 65 $, att fattigvårdssamhälle icke kan uttaga meddelat understöd i vidare mån än att vederbörande har medel till underhåll av sig och de sina, tror jag, att vi i detta avseende ha ställt kyrkan mitt i byn, som det heter, och träffat det rätta.</w:t>
        <w:br/>
        <w:br/>
        <w:t>Att vissa skärpta åtgärder nu äro föreslagna mot de försumliga familjeförsörjarna, måste ju betraktas som en efterlängtad reform.</w:t>
        <w:br/>
        <w:br/>
        <w:t>Förslaget om utflyttningsförbud och om införsel i avlöning i angivna fall är en reform, som så gott som samtliga våra fattigvårdsmy ndigheter ha begärt ganska länge.</w:t>
        <w:br/>
        <w:br/>
        <w:t>Det föreligger rörande förevarande proposition en motion, vari man hemställer, att namnet fattigvård skulle utbytas mot annan benämning. Jag har för min del ofantligt svårt att förstå vad det skulle vara för värde med en sådan reform. Vi veta ju alla innerligen väl, vad begreppet fattigvård innebär. När vi få en lag, som innehåller så många humana bestämmelser i jämförelse med de rent hjärtlösa, som förefunnits i 1871 års lag, är det ofattligt, att ordet försörjning t. ex. skulle vara bättre än ordet fattigvård. Om det skall vara skam att mottaga fattigvård, är det naturligtvis lika stor skam att mottaga försörjning, och icke blir reformen bättre, därför att jag skriver namnet försörjning i stället för namnet fattigvård. Detta är således en motion, som enligt min uppfattning saknar all betydelse för den reform, det här är fråga om att vinna. Jag har emellertid i förbigående velat omnämna detta förslag.</w:t>
        <w:br/>
        <w:br/>
        <w:t>Jag kan icke underlåta att peka på, vilka betydande framsteg det skulle innebära, om lagförslagets 64 $ kommer att bifallas oförändrad. Därigenom möjliggjordes en synnerligen önsk-</w:t>
        <w:br/>
        <w:br/>
        <w:t>Lördagen den 11 maj, f. m. 59 värd individualisering av hela vårt fattigvårdsväsende, och jag hoppas därför, att andra kammaren 1 varje fall skall komma att bifalla utskottets förslag i 64 $.</w:t>
        <w:br/>
        <w:br/>
        <w:t>Jag vågar nu icke upptaga kammarens tid längre, utan med betonande av, att förevarande lagförslag innehåller minimikrav i fråga om vad som rimligen kan krävas av en fattigvårdslagstiftning i våra dagar, och med förhoppning därom, att lagen utförd i levande livet skall bliva till gagn och välsignelse för dem, som icke på annat sält kunna erhålla sin utkomst, samt med uttalande av den önskan, att sociallagstiftningen och reformarbetet tillika med en rättvisare fördelning av arbetets frukter snarast skola minska fattigvården till det minsta möjliga, ber jag, herr talman, att få yrka bifall till lagförslagets 5 $, dock däri inbegripet jämväl bifall till det skrivelseförslag om större och bärkraftigare fattigvårdsdistrikt, som innehålles i min och Olssons i Ramsta vid utskottsutlåtandet fogade reservation.</w:t>
      </w:r>
    </w:p>
    <w:p>
      <w:pPr>
        <w:pStyle w:val="Heading2"/>
      </w:pPr>
      <w:r>
        <w:t>2. Axel Schotte (Liberala samlingspartiet, man)</w:t>
      </w:r>
    </w:p>
    <w:p>
      <w:r>
        <w:rPr>
          <w:b w:val="0"/>
        </w:rPr>
        <w:t>Herr talman, mina herrar! Jag skall först be att få uttala ett vördsamt tack till utskottet för den välvilja, med vilken utskottet behandlat den kungl. proposition, som nu föreligger. Det har varit en stor tillfredsställelse, att propositionen i det stora hela lyckats tillvinna sig utskottets bifall och att sålunda möjligheter finnas att få fram den humaniserade fattigvårdslagstiftning, som propositionen avsett att lägga första grunden till. De jämkningar, som uti en eller annan punkt vidtagits, äro sådana, att jag i allmänhet finner dem vara förbättringar och ansluter mig till desamma. Det finnes kanske någon punkt, där jag skulle vilja inlägga en reservation, men därtill torde jag få tillfälle, när vederbörande punkt behandlas.</w:t>
        <w:br/>
        <w:br/>
        <w:t>Jag kan även förklara, att de skrivelseförslag, som utskottet framlagt, synas mig vara ägnade att böra uppmärksammas, och att den utredning, som därvidlag är anbefalld, kan komma att bli till gagn för fattigvårdsväsendet i vårt land.</w:t>
        <w:br/>
        <w:br/>
        <w:t>Jag hyser också en grundad förhoppning, att, även om åtskilliga divergenser ännu kvarstå mellan olika riktningar inom det utskott, som sysslat med detta viktiga arbete, och kamrarna till följd därav i en eller annan punkt stanna vid olika beslut, det dock skall lyckas att, med tillmötesgående från olika sidor och med varmt hjärta för den viktiga sak, varom här är fråga, kunna sammanjämka skiljaktigheterna, så att innevarande års riksdag kan med tillfredsställelse få se grunden lagd till en ny och förbättrad fattigvårdslagstiftning.</w:t>
        <w:br/>
        <w:br/>
        <w:t>Jag skall vid den nu närmast föredragna punkten be att få yttra mig något angående de olika förslag och riktningar med avseende på fattigvårdens ekonomiska utövande, som här gjort sig gällande. Det är ju alldeles uppenbart till stor fördel för fattigvården, att sammanslutningar ske i syfte att vinna större och kraftigare fattigvårdssamhällen, vilket skulle vara icke blott eko-</w:t>
        <w:br/>
        <w:br/>
        <w:t>nomiskt lindrande, utan även bidraga till vinnande av en förhbättrad fattigvård över huvud taget.' I det avseendet har man i en motion och jämväl i övrigt funnit vissa sympatier uttalade, för att staten skulle helt övertaga fattigvårdskostnaderna. Detta har ju redan avvisats av kommittén liksom i den kungl. propositionen, och jag tror för min del, att det åtminstone för närvarande skulle möta synnerligen stora svårigheter. Det skulle medföra nya organisationer för staten för att utföra och kontrollera fattigvårdsförvaltningen, och givetvis skulle det medföra ökade svårigheter vid anordnandet särskilt av den öppna fattigvården. Men detta hindrar ju icke, att staten bör lindrande träda emellan och att staten på sina skuldror bör taga väsentliga grenar av den allmänna fattigvården. Så skulle här även ske genom det kungl. förslaget, och jag är övertygad om, att riksdagen skall tillse att man fortskrider på den vägen så långt rimligt kan vara.</w:t>
        <w:br/>
        <w:br/>
        <w:t>Ett annat alternativ för vinnande av större och bärkraftigare fattigvårdssamhällen är att, såsom likaledes i en motion föreslagits, få landstingsområdena såsom primära fattigvårdsområden. Det är naturligtvis åtskilligt, som talar för detta, enär därmed en verklig och effektiv utjämning skulle i många avseenden äga rum, men det är också givet, att det mötes av åtskilliga av de invändningar, som kunna riktas mot statens övertagande av fattigvården. Det blir en tung och besvärlig organisation; och landstingen sakna ju för närvarande organ för att kunna på tillfredsställande sätt handlägga en dylik stor och vansklig uppgift. Jag hyser också för min personliga del tvivel om, huruvida den riktning är lycklig, som går ut på att belasta landstingen med nya uppgifter och att lägga en stor del av hittillsvarande kommunala skattebördor på landstingen. Jag tror, att man kan skrida avsevärt vidare på vägen att överflytta och överföra på landstingen åtskilliga uppgifter, men jag tror också, att man i viss mån behöver vara försiktig i detta avseende, särskilt när det gäller stora och svåradministrerade uppgifter. Det är ju dock så, att landstingens huvudsakliga och ekonomiskt mest betydande uppgift är sjukvårdsväsendet, och man kan befara, att om landstingen få alltför många andra skiftande och dyrbara uppgifter, det skall uppstå svårigheter för landstingen att på ett tillfredsställande sätt ordna sjukvårdsväsendet, därvidlag framför allt den utvidgning av sjukvårdsväsendet, som icke blott avser lasarett och sjukhus, utan även anstalter för vårdande av kroniskt sjuka. Jag tror därför, att man kan hysa vissa tvivelsmål, huruvida man vid strävan efter större fattigvårdsområden bör ordna så, att landstingsområdena själva bli de primära fattigvårdssamhällena. Men naturligtvis böra landstingen 1 detta avseende tagas i anspråk, och det har också skett i den kungl. propositionen 1 ganska vidsträckt grad. Jag är också för min del övertygad om, att man kan gå vidare på den vägen.</w:t>
        <w:br/>
        <w:br/>
        <w:t>Det tredje sättet att vinna förbättrade och mera bärkraftiga fattigvårdssamhällen är den sammanslagning av fattigvårdssamhällen, varom här talas, närmast i 6 $. Denna sammanslagning</w:t>
        <w:br/>
        <w:br/>
        <w:t>har man ju här i förslaget blott avsett att få till stånd på frivillighetens väg, och anledningen till, att man nu icke velat gå längre, har närmast varit den, att kommittén för kommunala nybildningar icke ännu hade avgivit sitt betänkande, när fattigvårdspropositionen föredrogs inför Kungl. Maj:t. Nu har emellertid detta betänkande inkommit, och jag är övertygad om, att genom detsamma åtskilliga uppslag till sammanslagningar skola kunna givas som böra tillvaratagas. Kommitténs betänkande är redan remitterat, och jag kan försäkra, att i vad på mig ankommer allt skall göras för att så snart som möjligt föra fram de viktiga förslag detta betänkande innehåller.</w:t>
        <w:br/>
        <w:br/>
        <w:t>Huruvida kammaren i nu föredragen $ bör följa reservanterna, herrar Källman m. fl, eller gå med på utskottets förslag, anser jag vara en mera underordnad fråga. När utskottet i viktiga ekonomiska avseenden hemställt om avlåtande av skrivelser till Kungl. Maj:t, och när man känner, att frågan om sammanslagning av kommuner för allenast vissa ändamål är uppe genom den kommunala nybildningskommitténs betänkande, så synes det mig åtskilligt tala för, att kammaren utan vidare följer utskottets förslag. Jag tror, att med dess skrivelseförslag och dess motivering är man minst bunden; och det kan vara klokt att icke för mycket i förväg binda sig, när det är fråga om ett så pass svåröverskådligt område som det förevarande. Det är alldeles givet, att, i fall riksdagen bifaller de av utskottet framlagda skrivelseförslagen och en ytterligare utredning kommer att ske, eventuellt genom särskilda sakkunniga, uppdraget åt dessa i så fall skall läggas så vitt, att de bli oförhindrade att upptaga även andra möjligheter för bildande av bärkraftiga och lämpliga fattigvårdssamhälleu än kommunala nybildningskommitténs förslag avser. Jag tror därför, att på denna punkt kammaren bör godkänna utskottets förslag.</w:t>
        <w:br/>
        <w:br/>
        <w:t>Med vissa andra mindre divergenser, som förefinnas här mellan reservanterna under den föredragna $&amp;:n, torde jag icke nu behöva uppehålla mig. Syftet är ju detsamma, alla äro ju ense om, att man tills vidare åtminstone bör nöja sig med propositionens förslag i förhoppning att framdeles kunna få fram större fattigvårdssamhällen och att man icke bör låta sistnämnda fråga få förhindra eller förhala den viktiga frågan om en ny fattigvårdslagstiftning.</w:t>
        <w:br/>
        <w:br/>
        <w:t>I fråga om vissa punkter i andra delar av lagkomplexet, där smärre skiljaktigheter föreligga mellan utskottets olika medlemmar, torde jag få tillfälle att framdeles närmare uttala min uppfattning.</w:t>
      </w:r>
    </w:p>
    <w:p>
      <w:pPr>
        <w:pStyle w:val="Heading2"/>
      </w:pPr>
      <w:r>
        <w:t>3. Carl Hederstierna (Lantmanna- och borgarepartiet inom andrakammaren, man)</w:t>
      </w:r>
    </w:p>
    <w:p>
      <w:r>
        <w:rPr>
          <w:b w:val="0"/>
        </w:rPr>
        <w:t>Det må kanske först tillåtas mig, och jag är övertygad om att i det avseendet ha med mig såväl herr statsrådet och chefen för civildepartementet som alla de, vilka sysselsatt sig med detta nya lagförslag, att bringa ett varmt tack för det arbete, som fattigvårdskommittén har nedlagt i det här förslaget. Kommittén har hållit på under många år, och man var</w:t>
        <w:br/>
        <w:br/>
        <w:t>därför i början litet förvånad över, att det icke har blivit större förändringar i nu bestående förhållanden, än vad förslaget innehåller; men detta har tydligen berott på, att när man kommer in på dessa frågor, blir det så många och djupt ingående spörsmål, som gripa in på olika områden, och dessa spörsmål har kommittén naturligtvis måst pröva och gå på djupet med, innan den ansett sig kunna avgöra, om man borde acceptera dem eller ej. Det är säkerligen detta, som varit anledningen till den långa tiden för kommitténs behandling av denna fråga. Såsom jag sade, innebära kommittéförslaget och Kungl. Maj:ts proposition ingen omstöpning av de förhållanden, som nu råda, utan man har försökt att på det beståendes grund rätta de fel och de missgrepp, som i den gällande lagstiftningen särskilt ha trätt i dagen, och jag tror, att man i det fallet följt en lycklig taktik.</w:t>
        <w:br/>
        <w:br/>
        <w:t xml:space="preserve">Jag skall icke upprepa, vad den förste talaren här så länge ordade om, då han framhöll de olika förtjänster, som det föreliggande förslaget innebär. Det må dock tillåtas mig att särskilt påpeka den stora förtjänst, som ligger i den första paragrafens nya avfattning. Därigenom har omfattningen av den obligatoriska fattigvården blivit i hög grad utsträckt och detta på ett sätt, som, såvitt jag kan förstå, måste anses vara synnerligen tillfredsställande. Envar av oss, som haft att behandla fattigvårdsmål, har säkerligen mången gång varit upprörd över, att en stackars </w:t>
      </w:r>
      <w:r>
        <w:rPr>
          <w:b/>
        </w:rPr>
        <w:t>mor²</w:t>
      </w:r>
      <w:r>
        <w:rPr>
          <w:b w:val="0"/>
        </w:rPr>
        <w:t xml:space="preserve"> fått stå där ensam med sina många barn; </w:t>
      </w:r>
      <w:r>
        <w:rPr>
          <w:b/>
        </w:rPr>
        <w:t>hon²</w:t>
      </w:r>
      <w:r>
        <w:rPr>
          <w:b w:val="0"/>
        </w:rPr>
        <w:t xml:space="preserve"> har visserligen varit arbetsför, men vi ha alla måst säga oss, att det är </w:t>
      </w:r>
      <w:r>
        <w:rPr>
          <w:b/>
        </w:rPr>
        <w:t>henne²</w:t>
      </w:r>
      <w:r>
        <w:rPr>
          <w:b w:val="0"/>
        </w:rPr>
        <w:t xml:space="preserve"> omöjligt att draga sig fram med hela denna stora barnskara. Man har dock varit nödsakad att säga, att den fattigvård, som lämnats till </w:t>
      </w:r>
      <w:r>
        <w:rPr>
          <w:b/>
        </w:rPr>
        <w:t>henne²</w:t>
      </w:r>
      <w:r>
        <w:rPr>
          <w:b w:val="0"/>
        </w:rPr>
        <w:t xml:space="preserve">, icke varit obligatorisk, då </w:t>
      </w:r>
      <w:r>
        <w:rPr>
          <w:b/>
        </w:rPr>
        <w:t>hon²</w:t>
      </w:r>
      <w:r>
        <w:rPr>
          <w:b w:val="0"/>
        </w:rPr>
        <w:t xml:space="preserve"> ju ändock faktiskt varit arbetsför, d. v. s. ett fattigvårdssamhälle har icke varit skyldigt att lämna </w:t>
      </w:r>
      <w:r>
        <w:rPr>
          <w:b/>
        </w:rPr>
        <w:t>henne²</w:t>
      </w:r>
      <w:r>
        <w:rPr>
          <w:b w:val="0"/>
        </w:rPr>
        <w:t xml:space="preserve"> någon fattigvård. Detta har nu blivit helt och hållet tillrättalagt. Hädanefter äro de minderåriga liksom varje icke arbetsför person, oavsett om han har någon försörjningspliktig, föremål för obligatorisk fattigvård; fattigvårdssamhället är sålunda skyldigt att taga hand om en sådan person.</w:t>
        <w:br/>
        <w:br/>
        <w:t>Till de övriga större förändringarna i detta nya förslag måste jag räkna en punkt, där jag själv ställt mig såsom reservant emot vad förslaget i den delen innehåller. Denna punkt gäller frågan om hemortsrätt. Då vi här vid behandlingen av den nu föredragna paragrafen gått in på en principdebatt, må det tillåtas mig att i detta sammanhang även beröra min åsikt om hemortsrättstrågan.</w:t>
        <w:br/>
        <w:br/>
        <w:t>För närvarande har det varit så, att man haft sin hemort där man varit eller bort vara mantalsskriven. Detta har medfört, att om ett samhälle nödgats att lämna hjälp till en nödställd person, som där vistats, har man blott tagit reda på var denne senast varit eller bort vara mantalsskriven och sedan vänt sig till kommunen i fråga. Denna kommun har då försökt spjärna emot, och på detta sätt har varje dylikt fattigvårdsmål vuxit till en oroväckande lunta. Jag har under min ämbetsmannatid sett många luntor, men jag tror, att jag aldrig sett så stora, som när det gällt</w:t>
        <w:br/>
        <w:br/>
        <w:t>dylika fattigvårdsmål. Akten har gått från den ena kommunen till den andra, och alla ha försökt att visa, att den person, som saken gällt, aldrig hade bort mantalsskrivas i respektive kommun. Till slut har man dock lyckats få tag i någon kommun, där personen vistats något så när stadigvarande under december och januari månader, och så har denna kommun blivit fast och måst försörja personen under kanske hela hans återstående livstid. Detta är naturligtvis ingalunda tillfredsställande, och av dem, som hörts i ärendet, är det också högst få, som velat bibehålla den nuvarande bestämmelsen i detta avseende.</w:t>
        <w:br/>
        <w:br/>
        <w:t>Kommittén och i likhet med den Kungl. Maj:t och även utskottet ha nu ansett sig mycket lätt kunna lösa denna svårighet genom att säga, att en person skall ha hemortsrätt där, varest han senast varit mantalsskriven. Det är således nu icke alls längre fråga om, var han bort vara mantalsskriven, utan man har endast att söka taga reda på, var han senast varit mantalsskriven, ty där har han även sin hemort. Detta låter mycket enkelt, men det blir icke så enkelt i praktiken, ty hädanefter kommer naturligtvis varje kommun att vara mycket noga med, att en person, om vilken man kan misstänka, att han möjligen i framtiden skall komma att falla fattigvården till last, icke blir mantalsskriven inom kommunen, såvida icke detta är alldeles nödvändigt. De fattigvårdsprocesser, som vi hittills haft, skola visserligen försvinna, men de komma i stället att ersättas med mantalsskrivningsprocesser i all oändlighet, såvitt jag kan förstå. Man har visserligen sökt avklippa detta genom att säga, att man icke får klaga över skedd mantalsskrivning längre än till den 1 juli det år, för vilket man blivit mantalsskriven. Men den kommun där en dylik person blivit mantalsskriven, kommer nog att begagna sig av det första halvåret och söka påvisa, att personen i fråga icke hade bort mantalsskrivas inom kommunen, och den ena efter den andra, som har ett motsatt intresse, kommer att opponera sig, och så är processen i gång.</w:t>
        <w:br/>
        <w:br/>
        <w:t>Ser man vidare något mera djupt på saken, kan man enligt mitt förmenande icke finna det nu föreslagna stadgandet vara lyckligt. Vilken är anledningen till hemortsrätt om icke den, att det skall finnas ett samhörighetsförhållande mellan den behövande och samhället i fråga? Kan man nu säga, att ett sådant samhörighetsförhållande har uppstått, därför att en person t. ex. flyttat in på hösten 1918 och bott kvar inom kommunen till den 1 juli 1919, men därefter kanske flyttat till någon annan plats? Han är då mantalsskriven inom förstnämnda kommun, och denna mantalsskrivning kan icke rubbas. När han sedan ger sig i väg någon annan stans, blir han kanske icke alls mantalsskriven det följande året, och då är faktiskt den kommun, där han sålunda bott ett halvår, bunden, när det gäller hans hemortsrätt; det blir hans hemortskommun. Att enbart vistandet under ett halvt år inom en kommun skall grunda en sådan samhörighet, som man anser böra finnas, för att det skall kunna bli tal om hemortsrätt, synes mig</w:t>
        <w:br/>
        <w:br/>
        <w:t>vara att fota denna rätt på väl lösa grunder. Såvitt jag kan förstå, är det kammarrätten, som närmast haft det bästa greppet på denna fråga, då den velat göra gällande, att en person skulle in hemortsrätt i den kommun, där han bort vara mantalsskriven, om han därjämte under ett helt år varit bosatt och vistats inom kommunen i fråga. Detta möter emellertid den svårigheten, att om personen flyttade in i kommunen t. ex. den 1 september, skall man taga reda på, att han under hela tiden till nästa 1 september har bott inom samma kommun, varom det är fråga. Det blir ett rannsakande i all oändlighet, huruvida han verkligen inflyttade den 1 september, och om han sedan icke flyttat ut igen från kommunen några dagar före den 1 därpå följande september. Jag tror icke, att detta skulle vara något lyckligt sätt att ordna denna fråga, utan enligt min mening vore nog det bästa att säga, att den plats, där personen bort vara mantalsskriven och där han under det följande kalenderåret faktiskt vistats och varit bosatt, skall anses vara hans hemortskommun. Jag är icke blind för, att personen i fråga därigenom faktiskt blir mantalsskriven under två år, ty han blir ju mantalsskriven inom kommunen vid nästa mantalsskrivningstillfälle, om han då där bor kvar. Det skulle därjämte på detta sätt bliva svårare för honom att vinna hemortsrätt, men å andra sidan skulle man ha det stadgandet, som både enligt utskottets och min mening borde finnas, att när en person icke vistats inom sin hemortskommun under tre år, skola sådana kostnader för hans räkning, varom nu är fråga, drabba staten. Det synes mig, som om man icke borde ha något att erinra emot, att det blir staten, som i sådana fall får träda emellan. När vi således komma till frågan om hemortskommun, skall jag be att få framställa ett yrkande om bifall till min reservation i detta avseende.</w:t>
        <w:br/>
        <w:br/>
        <w:t>Vad angår fördelarna i övrigt hos det föreliggande förslaget, skall jag nu icke vidare uppehålla mig vid desamma. Utskottets vice ordförande har här redan påpekat fördelen av fattigvårdsinspektionen, varom vi ju alla äro ense, och fördelen därav, att staten, såsom jag nyss berörde, övertager fattigvårdskostnaderna i vida högre grad, än vad för närvarande är fallet. Enligt nu gällande bestämmelser skall i det fall, att en person vistas utom sin hemortskommun i fem år, staten övertaga understödsskyldigheten, därest kommunen i fråga varit synnerligen betungad och vederbörande anslag lämnar tillgång till utgiften. Enligt det föreliggande förslaget fordras blott, att personen varit utom kommunen under tre år; kommunen behöver icke alls vara särskilt betungad, och frågan om anslagets tillräcklighet har icke upptagits bland villkoren. Vidare ha ju landstingen övertagit vissa särskilda kostnader för vård å sjukhus, vilka förut alltid varit en betungande utgift för kommunerna.</w:t>
        <w:br/>
        <w:br/>
        <w:t>Jag vill nu övergå till 8 5 och särskilt det skrivelseförslag, som under denna paragraf framställts av herrar Källman och Olsson i Ramsta. Redan i motioner ha ju de tankar förts fram,</w:t>
        <w:br/>
        <w:br/>
        <w:t>som de sedermera upptagit i sin reservation, och anledningen till, att man tagit upp principdebatten vid $ 5 är ju den, att dessa tankar i en uti första kammaren avgiven motion tagit den form, att man där yrkat avslag å hela det föreliggande lagförslaget i syfte att få ett helt annat primärt fattigvårdssamhälle än förslaget innebär. Det primära fattigvårdssamhället är enligt förslaget liksom enligt nu gällande lagstiftning kommunen. Motionären i fråga har liksom reservanterna tänkt sig, att det primära härvidlag skulle bliva landstingsområdet eller möjligen något annat område, dock alltid större än kommunen. Men varken motionären eller reservanterna ha tänkt sig, att staten skulle träda ensam emellan, när det gällde fattigvården, utan att skyldigheten i detta fall skulle åligga landstinget. Det har framhållits, att med bibehållande av kommunen såsom det primära fattigvårdssamhället skulle det bliva svårt för de små kommunerna att kunna bära de ökade anspråk, som numera med rätta komma att ställas på dem, men i detta avseende vill jag genast erinra om, att man för sådana fall särskilt tänkt sig, att små kommuner skulle sluta sig tillsammans och bilda ett gemensamt fattigvårdssamhälle. wvunska de detta, möter därför intet hinder. Reservanterna säga vidare, att det är uppenbart, att om landstingsområdet kommer att utgöra det primära fattigvårdssamhället, skall antalet processer i hög grad minskas.</w:t>
        <w:br/>
        <w:br/>
        <w:t>Mot dessa förslag må till en början erinras, att huru mycket man än önskar, att de humanitära kraven skola beaktas — och det önska vi säkerligen allesammans — så kunna dessa dock tillfredsställas även med ett förståndigt iakttagande av de ekonomiska synpunkterna. Man kan ju ändå befara, att om, såsom reservanterna tänkt sig, kommunerna skola sköta den egna fattigvården, men kostnaderna bestridas av landstingsområdet i dess helhet, skola fattigvårdsstyrelserna inom de olika kommunerna icke ha uppmärksamheten så starkt fäst på, vad som kan vara ekonomiskt klokt. Bördan av kostnaderna kommer ju, som sagt, icke att drabba kommunen direkt, utan landstinget i dess helhet.</w:t>
        <w:br/>
        <w:br/>
        <w:t>Därtill kommer naturligtvis, att därest landstinget skall övertaga denna sak, måste det försöka att utöva någon kontroll på kommunerna, och detta medför i sin ordning, såvitt jag kan förstå, att det måste bli nya tjänstemän. Man kan icke undgå att anställa en hel tjänstemannakår, som har att resa omkring och kontrollera kommunerna och se till, att de ordna sin fattigvård på ett riktigt sätt. Hela den utjämning av kostaderna, som sedan skall äga rum vid slutet av varje år, måste nödvändiggöra ett litet ämbetsverk för landstinget, som har att räkna ut, hur kostnaderna fördela sig.</w:t>
        <w:br/>
        <w:br/>
        <w:t>Till det nu anförda skälet vill jag lägga ännu ett, som jag fäster minst lika mycken vikt vid som vid de övriga, jag här berört. Reservanterna säga visserligen, att "den öppna fattigvården skall allt fortfarande skötas av kommunen, men att den slutna fattigvården, således vården på ålderdomshem, skall övertages av lands-</w:t>
        <w:br/>
        <w:br/>
        <w:t>tingen. Tro herrarna verkligen, att de fattiga inom kommunerna skulle känna sig tillfredsställda med att på gamla dagar bliva förda från de kommuner, där de levat och bott i hela sin tid, till de stora ålderdomshem, som landstingen, för att det skall kunna gå ekonomiskt ihop, säkerligen måste låta bygga. Jag tror, att de fattiga under alla omständigheter äro synnerligen svåra att förmå att flytta till ett ålderdomshem, men ännu svårare skulle det bli, om ålderdomshemmet bleve förlagt långt bort från deras hembygd. Jag tror därför, att det för de fattigas egen skull vore synnerligen olyckligt, om landstingen skulle övertaga fattigvården.</w:t>
        <w:br/>
        <w:br/>
        <w:t>Därtill kommer ju en annan sak. Betraktar man landstingsområdet såsom primärt fattigvårdssamhälle, så blir följden den, att även om man utjämnar dessa bördor inom landstingsområdet, så blir det olika inom olika landstingsområden. Med skäl kommer Stockholms läns landstingsområde att säga: varför skola vi bli så betungade av fattigvård, då Uppsala län icke har sådana bördor? Det blir icke fullt rättvist, även om man utjämnar inom landstingsområdet. Varför detta blir otillfredsställande, det beror, såvitt jag kan förstå, på rent principiella grunder. Hela fattigvärdskostnaden är icke en kommunernas kostnad. Skyldigheten att stödja dem, som behöva vård på grund av att de icke äro arbetsföra, den åligger staten. Det är icke tal om annat att det är en statens skyldighet att taga hand om de fattiga. Då är den riktiga vägen den, att då staten av skäl, som nog äro beaktansvärda och riktiga, överlåter denna skyldighet åt kommunerna, staten träder utjämnande emellan. Staten skall sörja för att bördorna icke bli för tunga i den ena kommunen i jämförelse med den andra. Här ha vi i utskottet enats om att skriva till Kungl. Maj:t och anhålla om att man så fort som möjligt måtte få ett förslag, som söker i vidare mån än nu är fallet utjämna de olika kommunala bördorna. Det är med en viss tvekan, som några i utskottet gått med på detta förslag därför att riksdagen har redan för några år sedan skrivit om detta till Kungl. Maj:t, men saken är så pressande, att det är nyttigt, att man på något sätt påminner om att detta intresse bör beaktas så fort som möjligt.</w:t>
        <w:br/>
        <w:br/>
        <w:t>Så är det något som herr Källman och även herr statsrådet vidrörde, nämligen det nyss avgivna kommittéförslaget om kommunala nybildningar. Det förslaget går ut på att de olika kommunerna, om de icke kunna orka med att bära bördorna och fullt utfylla fattigvården såsom man nu kräver av ett fattigvårdssamhälle, skola kunna av Kungl. Maj:t åläggas att sammansluta sig, så att en kommun sammansluter sig med de närliggande och bildar ett fattigvårdssamhälle och kan tvingas därtill även mot sin vilja. Frågan om att nu taga upp detta väckte jag själv i utskottet, men då jag icke lyckades få alla utskottets medlemmar med mig och det kan med skäl sägas, att kommittéförslaget icke gått igenom myndigheternas skärseld, så lät jag frågan falla i hopp om att kommittéförslaget så snart som möjligt, såsom även herr statsrådet utlovade, kommer till behandling i riksdagen. Jag</w:t>
        <w:br/>
        <w:br/>
        <w:t>tror därför, att detta skrivelseförslag, som herr Källman och herr Olsson i Ramsta framkommit med, varken ur principiell synpunkt eller i övrigt är lyckligt och lämpligt. Med denna åsikt finner jag också, att de särskilda motiv, som tre av utskottets ledamöter yrkat skulle komma in i motiveringen och där de beröra just detta och framhålla önskvärdheten av att såsom en framtidsmöjlighet landstingsområdet skulle bliva det primära fattigvårdssamhället och där de tala om kommunala nybildningar, icke böra i detta sammanhang tagas upp.</w:t>
        <w:br/>
        <w:br/>
        <w:t>Jag ber, herr talman, att få yrka bifall till utskottets förslag i 5 $ och avslag på det förslag om skrivelse, som väckts av herrar Källman och Olsson i Ramsta.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