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1400</w:t>
      </w:r>
    </w:p>
    <w:p>
      <w:r>
        <w:rPr>
          <w:b/>
        </w:rPr>
        <w:t xml:space="preserve">Datum: </w:t>
      </w:r>
      <w:r>
        <w:t>1918-05-18</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Emil Kristensson (Socialdemokraterna, man)</w:t>
      </w:r>
    </w:p>
    <w:p>
      <w:r>
        <w:rPr>
          <w:b w:val="0"/>
        </w:rPr>
        <w:t>Herr talman! Jag tillåter mig beträffande föredragningen av detta ärende, liksom också av de två följande, hemställa, att utlåtandena måtte föredragas punktvis, samt att endast kantrubrikerna uppläsas utom i de punkter, där det föreligger reservation eller där någon ledamot av kammaren begär, att utskottes hemställan uppläses.</w:t>
        <w:br/>
        <w:br/>
        <w:t xml:space="preserve">»Skulle olycksfall, varom här är fråga, hava medfört döden, utgår, om den avlidne hade officers tjänsteställning, en årlig livränta av 2,000 kronor, eljest 1,000 kronor, till hans </w:t>
      </w:r>
      <w:r>
        <w:rPr>
          <w:b/>
        </w:rPr>
        <w:t>änka²</w:t>
      </w:r>
      <w:r>
        <w:rPr>
          <w:b w:val="0"/>
        </w:rPr>
        <w:t xml:space="preserve">, så länge </w:t>
      </w:r>
      <w:r>
        <w:rPr>
          <w:b/>
        </w:rPr>
        <w:t>hon²</w:t>
      </w:r>
      <w:r>
        <w:rPr>
          <w:b w:val="0"/>
        </w:rPr>
        <w:t xml:space="preserve"> lever ogift, samt 300 kronor till varje den avlidnes minderåriga barn, intill dess barnet fyllt 18 år.</w:t>
        <w:br/>
        <w:br/>
        <w:t xml:space="preserve">Om den avlidne var </w:t>
      </w:r>
      <w:r>
        <w:rPr>
          <w:b/>
        </w:rPr>
        <w:t>änkeman²</w:t>
      </w:r>
      <w:r>
        <w:rPr>
          <w:b w:val="0"/>
        </w:rPr>
        <w:t xml:space="preserve"> eller ogift, utgår nyssnämnda belopp, 2,000 respektive 1,000 kronor om året, till hans efterlevande föräldrar eller, därest endera av dem avlidit, till den efterlevande.»</w:t>
      </w:r>
    </w:p>
    <w:p>
      <w:pPr>
        <w:pStyle w:val="Heading2"/>
      </w:pPr>
      <w:r>
        <w:t>2. Oscar Bogren (Liberala samlingspartiet, man)</w:t>
      </w:r>
    </w:p>
    <w:p>
      <w:r>
        <w:rPr>
          <w:b w:val="0"/>
        </w:rPr>
        <w:t xml:space="preserve">Herr talman! Genom en olyckshändelse under flygövning omkommo på Malmslätt den 26 september 1917 löjtnanterna H. G. Pfeiff och H. G. von Blixen-Finecke. Löjtnant Pteiff efterlämnade, såsom man ser av detta betänkande, </w:t>
      </w:r>
      <w:r>
        <w:rPr>
          <w:b/>
        </w:rPr>
        <w:t>änka²</w:t>
      </w:r>
      <w:r>
        <w:rPr>
          <w:b w:val="0"/>
        </w:rPr>
        <w:t xml:space="preserve"> och två minderåriga barn. Ankan och barnen erhålla ur arméns </w:t>
      </w:r>
      <w:r>
        <w:rPr>
          <w:b/>
        </w:rPr>
        <w:t>änkeoch²</w:t>
      </w:r>
      <w:r>
        <w:rPr>
          <w:b w:val="0"/>
        </w:rPr>
        <w:t xml:space="preserve"> pupillkassa, </w:t>
      </w:r>
      <w:r>
        <w:rPr>
          <w:b/>
        </w:rPr>
        <w:t>änkan²</w:t>
      </w:r>
      <w:r>
        <w:rPr>
          <w:b w:val="0"/>
        </w:rPr>
        <w:t xml:space="preserve"> 400 kronor i årligt understöd och barnen 75 kronor vardera årligen till och med det är, då de fylla 21 år. Med stöd av 1909 års lag rörande olycksfall under militärtjänst kan </w:t>
      </w:r>
      <w:r>
        <w:rPr>
          <w:b/>
        </w:rPr>
        <w:t>änkan²</w:t>
      </w:r>
      <w:r>
        <w:rPr>
          <w:b w:val="0"/>
        </w:rPr>
        <w:t xml:space="preserve"> liksom barnen erhålla någon ytterligare ersättning. Men även dessa ersättningsbelopp äro så blygsamma, att regeringen har funnit sig föranlaten att framlägga proposition om beviljande av fyllnadspension till de efterlevande, och regeringen har därvid följt de sakkunnigas av år 1916 anvisning, att understöd för </w:t>
      </w:r>
      <w:r>
        <w:rPr>
          <w:b/>
        </w:rPr>
        <w:t>änka²</w:t>
      </w:r>
      <w:r>
        <w:rPr>
          <w:b w:val="0"/>
        </w:rPr>
        <w:t xml:space="preserve"> efter genom olycksfall omkommen militär bör utgå med 1,500 kronor årligen, så länge </w:t>
      </w:r>
      <w:r>
        <w:rPr>
          <w:b/>
        </w:rPr>
        <w:t>hon²</w:t>
      </w:r>
      <w:r>
        <w:rPr>
          <w:b w:val="0"/>
        </w:rPr>
        <w:t xml:space="preserve"> blir ogift, och för barnen 300 kronor vardera, tills de fylla 21 år. Med anledning härav har Kungl. Maj:t föreslagit en tilläggspension för </w:t>
      </w:r>
      <w:r>
        <w:rPr>
          <w:b/>
        </w:rPr>
        <w:t>änkan²</w:t>
      </w:r>
      <w:r>
        <w:rPr>
          <w:b w:val="0"/>
        </w:rPr>
        <w:t xml:space="preserve"> av 1,100 kronor och för barnen av 225 kronor vardera. Detta har också utskottet tillstyrkt. Och utskottet har därvid även tillstyrkt, att denna tilläggspension för barnen skall utgå, till dess de fylla 21 år. Mot denna sistnämnda bestämmelse har jag vågat anföra avvikande mening. Jag yrkar, att denna fyllnadspension till barnen endast skall utgå till dess de fylla 18 år. Jag tror, att detta yrkande har rätt goda skäl för sig. Den av mig förut omnämnda lagen rörande olycksfall under militärtjänst bestämmer att livränta till barn efter omkommen militär skall utgå, tills barnen fylla 15 år. Men flera gånger har nu tillämpats, att riksdagen utdelat sådant understöd eler fyllnadspension, tills barnen fylla 18 år. Denna åldersgräns har också föreslagits av den av Kungl. Maj:t tillsatta flygkommissionen, vilken bland annat föreslagit, att understöd till efterlevande barn skall utgå, tills de fylla 18 år.</w:t>
        <w:br/>
        <w:br/>
        <w:t xml:space="preserve">Att pensionen ur arméns </w:t>
      </w:r>
      <w:r>
        <w:rPr>
          <w:b/>
        </w:rPr>
        <w:t>änkeoch²</w:t>
      </w:r>
      <w:r>
        <w:rPr>
          <w:b w:val="0"/>
        </w:rPr>
        <w:t xml:space="preserve"> pupillkassa nu utgår till barnen, till dess de fylla 21 år, lär väl icke kunna utgöra något skäl för riksdagen att bevilja fyllnadspension ända till denna höga ålder. Det skulle förresten medföra ganska besvärande konsekvenser. Kammaren har att om en stund i punkt 22 av föreliggande betänkande fatta beslut om fyllnadspension till efterlevande barn. I denna punkt föreslås pensionen att utgå, tills barnen fylla 18 år. Jag tror icke det skulle vara rättvist att i punkterna 3 och 4 bestämma, att fyllnadspensionen skall utgå, tills barnen fylla 21 år, och i punkt 22 tills de fylla 18 år.</w:t>
        <w:br/>
        <w:br/>
        <w:t>Jag har mig väl bekant, att riksdagen tillförne någon gång — jag ber att få understryka någon gång — har beviljat sådan här fyllnadspension till så hög ålder som 21 år. Men jag är övertygad om att riksdagen numera har goda skäl för den praxis, som de senaste åren följts, nämligen att bestämma dessa fyllnadspensioner och dessa understöd att utgå, tills barnen fylla 18 år. Det är väl dock en ålder, vid vilken de efterlevande kunna försörja sig själva.</w:t>
        <w:br/>
        <w:br/>
        <w:t>Jag skall icke upptaga kammarens tid längre för att andraga flera skäl för min uppfattning i frågan, utan jag hemställer, herr talman, om bifall till utskottets föreliggande törslag med den ändring, att »21 år» ändras till »18 år», vilket är innebörden av min reservation.</w:t>
      </w:r>
    </w:p>
    <w:p>
      <w:pPr>
        <w:pStyle w:val="Heading2"/>
      </w:pPr>
      <w:r>
        <w:t>3. Erik Röing (Liberala samlingspartiet, man)</w:t>
      </w:r>
    </w:p>
    <w:p>
      <w:r>
        <w:rPr>
          <w:b w:val="0"/>
        </w:rPr>
        <w:t>Herr talman, mina herrar! Jag beklagar livligt, att bankoutskottet icke har ansett sig kunna tillstyrka bifall till den motion, som av herr Libeck och mig jämte ytterligare två av kammarens ledamöter väckts angående högre pension till dessa änkor och barn, som kommit i en prekär ställning, till följd av att deras män och fäder gått under vid utövandet av sin uppgift inom flygvapnet. Emellertid är ju anledningen till att bankoutskottet icke kunnat tillstyrka vår motion huvudsakligast den, att flygkommissionens yttrande, som går i samma riktning som vår motion, ännu icke kunnat prövas av vederbörande myndigheter och av riksdagen samt att man därför får se tiden an, huruvida riksdagen i fortsättningen skall lämna andra pensionsbelopp till efterlevande änkor och barn till officerare, som omkommit genom olyckshändelse under flygning. Jag uttalar därför den förhoppningen, att i händelse riksdagen, sedan den prövat flygkommissionens förslag, skulle komma att besluta, att en högre pension skall utgå till änkor och till minderåriga barn, än nu av utskottet föreslås, ett sådant beslut även må verka retroaktivt och att dessa eventuellt högre pensioner således även må tilldelas dessa änkor och barn, varom nu är fråga.</w:t>
        <w:br/>
        <w:br/>
        <w:t>Jag beklagar likväl, att det finnes medlemmar inom utskottet, som icke ens vilja bifalla Kungl. Maj:ts och bankoutskottets hemställan, och att således dessa faderlösa barn etter dessa två officerare, som gått under, icke ens skulle få den föreslagna pensionen upp till 21 års ålder. Det är väl dock icke så, som herr Bogren förutsatte, att när barnen blivit 18 är, de uppnått en sådan ålder, att de kunna försörja sig själva. Skola de slå in på andra banor än de praktiska yrkena, det må vara handelns, hantverkets eller jordbrukets, så få de väl fortsätta sina studier, och då får man väl giva dem understöd, till dess man kan beräkna, att de ha avslutat dessa studier.</w:t>
        <w:br/>
        <w:br/>
        <w:t>Jag ber, som frågan nu ligger, att få yrka bifall till utskottets hemställan.</w:t>
      </w:r>
    </w:p>
    <w:p>
      <w:pPr>
        <w:pStyle w:val="Heading2"/>
      </w:pPr>
      <w:r>
        <w:t>4. Carl Persson (Lantmanna- och borgarepartiet inom andrakammaren, man)</w:t>
      </w:r>
    </w:p>
    <w:p>
      <w:r>
        <w:rPr>
          <w:b w:val="0"/>
        </w:rPr>
        <w:t>Herr talman! Man kan ju ömma för dessa barn, som på detta sätt förlorat sin fader, men när nu reservanterna här yrkat bifall till sin reservation eller till ut-</w:t>
        <w:br/>
        <w:br/>
        <w:t xml:space="preserve">skottets hemställan endast med den ändring, att understödet skulle utgå till dess de fyllt 15 är i stället för, som Kungl. Maj:t och utskottet föreslår, 21 år, så får jag för min del säga, att jag instämmer helt och hållet med reservanterna i denna del. Det är ju icke fråga om här att nedsätta åldern från 21 till 18 år beträffande det belopp, som de ba att erhälla från arméns </w:t>
      </w:r>
      <w:r>
        <w:rPr>
          <w:b/>
        </w:rPr>
        <w:t>änkeoch²</w:t>
      </w:r>
      <w:r>
        <w:rPr>
          <w:b w:val="0"/>
        </w:rPr>
        <w:t xml:space="preserve"> pupillkassa, där de ha ett visst understöd att få. Det är ju en sak, som icke riksdagen kan bestämma över, utan det är Kungl. Maj:t och styrelsen för kassan, som ha att skriva reglemente för denna pensionskassa. Men detta belopp, som nu är begärt och av utskottet tillstyrkt, utgår icke efter detta reglemente, utan det utgår efter sådana regler, som riksdagen skriver och själv bestämmer. Det är således skilda saker.</w:t>
        <w:br/>
        <w:br/>
        <w:t>Jag tror, att der har en mycket stor betydelse, om riksdagen skulle bifalla utskottets hemställan i denna del och således godkänna principen, att statsverket skall lämna understöd till ungdomar ända tills de fyllt 21 år. Det går väl bra långt, och jag riktigt förundrar mig över att utskottet kunnat tillstyrka detta i denna punkt. Man behöver ju icke bläddra så långt i detta betänkande, förrän man finner, att i icke mindre än tre punkter, nämligen punkterna 21, 22 och 26, har samma utskott tillstyrkt 18 års ålder för barn, till vilka pensioner tillstyrkts. Då kan man säga, som den föregående talaren sade, att dessa barns föräldrar tillhöra icke den samhällsklass som de andra barnens. Men jag hoppas, att man icke i detta fall skall göra skillnad på åldern för understöden, om barnens föräldrar tillhöra den ena eller den andra samhällsklassen. Skall man på detta sätt göra skillnad, då undrar Jag, huruvida det icke alldeles strider mot den princip, som åtminstone denna kammare under de senare årtiondena velat hålla uppe. Och jag tror också, att om man skulle godkänna 21 års ålder, så skulle det strida mot vad riksdagen vid föregående tillfällen har godkänt. Jag vill bara erinra om att då en högre militär förlorade livet i Stockholm 1910, så blev det ju framställning därom, att hans barn skulle få ett understöd av statsverket, och det beviljade riksdagen; men det är att märka, att då bestämde också riksdagen, att barnens ålder icke fick överstiga 18 år. Således ser man där, att även då det rörde en person, som tillhörde en högre samhällsklass och t. o. m. var militär, så ville riksdagen i det fallet icke gå längre än till 18 år. Och även i fjol förekom det många fall, där det ifrågasattes en ålder av 21 år, men där riksdagen nedsatte det till 138 år.</w:t>
        <w:br/>
        <w:br/>
        <w:t>Jag hoppas därför, att kammaren i detta fall ser sig för, innan den lämnar sitt godkännande till att anslå statsmedel för att försörja friska unga män ända upp till 21 års ålder. Det är väl en orimlighet, vågar jag sägs, att i det ena failet bevilja understöd till 21 års ålder och sedan i det andra fallet endast till 18 års ålder. Och det finns t. o. m. fall här, där man icke gått längre än till 15 års ålder. Jag skulle vilja uttala den bestämda förvissningen, att andra kammaren icke här godkänner utskottets</w:t>
        <w:br/>
        <w:br/>
        <w:t>ihr, yn-J28 ber att få yrka bifall.</w:t>
      </w:r>
    </w:p>
    <w:p>
      <w:pPr>
        <w:pStyle w:val="Heading2"/>
      </w:pPr>
      <w:r>
        <w:t>5. unknown (–, –)</w:t>
      </w:r>
    </w:p>
    <w:p>
      <w:r>
        <w:rPr>
          <w:b w:val="0"/>
        </w:rPr>
        <w:t xml:space="preserve">Herr talman! Här föreligger ett alldeles anaefterlevande. lygt fall. Vid samma tillfälle som löjtnant Pfeiff omkom även löjtnant Blixen-Finecke. Också han efterlämnar </w:t>
      </w:r>
      <w:r>
        <w:rPr>
          <w:b/>
        </w:rPr>
        <w:t>änka²</w:t>
      </w:r>
      <w:r>
        <w:rPr>
          <w:b w:val="0"/>
        </w:rPr>
        <w:t xml:space="preserve"> och minderårigt barn. Utskottet har här liksom i föregående punkt tillstyrkt, att understöd till detta barn skall utgå, tills det fyllt 21 år. Jag ber, herr talman, att här få göra samma yrkande som i föregående punkt, nämligen att »21 år» ändras till &gt;18 år».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1400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