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300</w:t>
      </w:r>
    </w:p>
    <w:p>
      <w:r>
        <w:rPr>
          <w:b/>
        </w:rPr>
        <w:t xml:space="preserve">Datum: </w:t>
      </w:r>
      <w:r>
        <w:t>1918-05-20</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Fleming (–, man)</w:t>
      </w:r>
    </w:p>
    <w:p>
      <w:r>
        <w:rPr>
          <w:b w:val="0"/>
        </w:rPr>
        <w:t xml:space="preserve">Herr greve och talman! De föreslagna tilläggen i särskilda anvisningar till ledning vid taxering, som äro föreslagna under punkt 3 avse närmast, att skattskyldig, som på olika orter bedriver rörelse genom s. k. </w:t>
      </w:r>
      <w:r>
        <w:rPr>
          <w:b/>
        </w:rPr>
        <w:t>dotterbolag²</w:t>
      </w:r>
      <w:r>
        <w:rPr>
          <w:b w:val="0"/>
        </w:rPr>
        <w:t xml:space="preserve"> eller andra i beskattningshänseende självständiga företag, icke får fördela vinsten emellan dessa olika företag på sätt som han själv finner lämpligast. Innebörden är sålunda egentligen den, att vart och ett av dessa olika företag bör redovisa den del av vinsten, som skäligen bort falla på densamma.</w:t>
        <w:br/>
        <w:br/>
        <w:t>Förslaget har uppkommit, som jag nyss nämnde, på grund av utredningar angående beskattning av utlänningar. Man har nämligen funnit, att företag här i landet, som till största delen äges av utlänning, kunna, genom viss försäljningspolitik, komma att visa mycket liten eller ringa vinst, och det har ursprungligen varit detta, som man velat förekomma.</w:t>
        <w:br/>
        <w:br/>
        <w:t>Jag kan till en början säga, att författningen, sålunda skriven,</w:t>
        <w:br/>
        <w:br/>
        <w:t>har varit på remiss till myndigheterna, och att i allmänhet ingen erinran gjorts mot densamma, men diremot har författningen, sådan</w:t>
        <w:br/>
        <w:br/>
        <w:t>den av Kungl. Maj:t är framlagd, icke varit underkastad prövning av ;</w:t>
        <w:br/>
        <w:br/>
        <w:t>någon myndighet, utan framkommit helt och hållet utan föregående utredning i väRpn, Jag nimner detta, ty redan det visar betänkligheten av at t antaga ett lagförslag, som kommit fram så löst och utan föregående prövning.</w:t>
        <w:br/>
        <w:br/>
        <w:t>Det torde, av vad jag nyss sade, framgå, att den största betydelsen av detta förslag skulle ligga däri, att kommuner, där industriföretag av ifrågavarande art finnas, icke skulle kunna undandragas skatt av den anledning, att industri på grund av uppgörelse med huvudintressent icke redovisade så stort belopp, som den möjligen annars skulle kunna göra. Det är huvudsakligast ett kommunalt skatteproblem, ty statsskatten utgår ju i alla fall. Denna skulle till och med kunna tänkas bliva mindre genom förslaget, genom fördelning av vinsten på flera håll blir den underkastad mindre progression. Därmed kommer jag emellertid in på en annan sak i denna fråga, nämligen att, så som lagförslaget är skrivet, en upptaxering av taxeringsmyndighet skulle kunna komma att ske för ett bolag utan att samtidigt huvudintressenten, d. v. s. den som rår om bolaget, får motsvarande avdrag i sin beskattning. Driver jag satsen vidare, huru långt som helst, kan jag tänka mig, att, om det är flera underbolag taxeringsmyndigheterna höjer taxeringen för vart och ett av dem. Huvudintressenten får då en sammanlagd taxering som icke alls är grundad på den inkomst som han har haft, utan på vad taxeringsmyndigheten anser, att han borde hava haft.</w:t>
        <w:br/>
        <w:br/>
        <w:t>Jag vill icke förneka, att någonting borde i denna sak åtgöras. ty det kan hända, att vissa kommuner kunna, med de förhållanden som nu äro rådande, få mindre skatt än de skulle hava haft. ifall denna fördelats mera jämnt på de olika företagen, men å andra sidan är det mycket betänkligt att stifta en lag, som uteslutande kommer att beskatta efter godtycke, ty hur skulle det vara möjligt att bestämma vad som i allmänhet är gällande priser. Jag tager som exempel en industri, som tillverkar halvfabrikat. Det finns intet värde på dessa, ty de finnas icke i marknaden. 'Taxeringsmyndigheten kommer att tycka, att industrien tagit för litet betalt för halvfabrikatet, och detta, säger taxeringsmyndigheten, beror på att ni äges av det och det bolaget och säljer för billigt till detta. Ett annat exempel. Som herrarna erinra sig, hava vi under denna riksdag fattat beslut om att staten skulle teckna aktier i ett bolag för tillverkning av svensk koppar. Avsikten var dels att få fram mera koppar och dels att få fram kopparn så billigt som möjligt, för att industrier som behöva koppar icke skulle behöva hålla för höga priser. Kopparverket kommer att ligga i en viss kommun, och kopparn säljes till vad den kostar att framställa. Då säger taxerinosmyndigheten där: »Detta skola ni icke beräkna beskattningen efter, utan efter vad ni skulle hava sålt kopparn för å allmänna marknaden.» etta leder ju till ganska besynnerliga konsekvenser. Därtill kommer att det rör icke endast dessa bolag, som man närmast tänker på, utan nästan vilken enskild</w:t>
        <w:br/>
        <w:br/>
        <w:t>person som helst. Det står »har näringsidkare till någon, som är ckonomiskt intrescerad i hans näringsföretug eller kan öva intlytange på företagets ledning, försåll varor 0. s. v.». Han bör sålunda vara ekonomiskt intresserad och alla aktieägarna i ett bolag aro ju ekonomiskt intresserade. Ja, denna bestämmelse kommer att beröra alla möjliga områden.</w:t>
        <w:br/>
        <w:br/>
        <w:t>Jag vill, som jag nyss sade, icke förneka, att det kan vara av behovet påkallat ait vidtaga någon åtgärd, men att vlätaga en sådan åtgärd som denna, förefaller mig högst bevänklig. Ty, såsom förslaget är skrivet, såväl enligt Kungl. Maj:ts som indå mera enligt utskottets förslag, skall det, om det koramer till användning, leda till et fullständigt godtycke, ett godiycke som kan komma att drabba de flesta handlande och industriföretag. Och då jag icke föreställer m.g, att man genom föriattningslöreskrifter hör fastslå ett sådant godtycke, utan att önskvärda åtgärder i den åsyitade riktningen efter en verklig föregående utrodning böra kunna vidtagas på annat än på detta otymmnliga sätt. ber jag, herr greve och talman, få yrka avslag på utskottets hemställan under punkterna 3 och 4.</w:t>
      </w:r>
    </w:p>
    <w:p>
      <w:pPr>
        <w:pStyle w:val="Heading2"/>
      </w:pPr>
      <w:r>
        <w:t>2. Jacob Larsson (Liberala samlingspartiet, man)</w:t>
      </w:r>
    </w:p>
    <w:p>
      <w:r>
        <w:rPr>
          <w:b w:val="0"/>
        </w:rPr>
        <w:t>Herr talman, mina herrar! Den siste ärade talaren tycktes sammanfatta sin motivering för avslag i slutorden, att en sådan här lagstiftning skulle knävätta det rena. godtycket.</w:t>
        <w:br/>
        <w:br/>
        <w:t>Jag vågar säga, att så icke är förhållandet: utan en lagbestämmelse sådan som denna avser alt råda bot för ett annat godtycke, den förebygger, att en affärsledning under sådana förhållanden, som här är fråga om, skall kunna efter eget godtycke be timma inom vilken kommun skatt skall erläggas. Det finnes nu full frihet att kunna så bestämma priserna, att huvudvinsten kan läggas i en kommun, där det t. ex. kan vara synnerligen låg kommunalskatt och därigenom undandraga en annan kommun den inkomst. som den borde hava haft: och så har verkligen skett. På den tiden, då ännu icke svenska : ockerfabr'ksbolaget var bildat, inträffade det. att en råsockerfabrik ägdes av ett raffinaderi. beläget i annan kommun, och att priset på råsocker ställdes så, att den huvudsakliga vinsten av den samlade verksamheten föll inom den kommun, där det var en ytterst minimal kommunal katt. Det klagades år efter år på detta förhållande utan att någon rättelse skedde, och jag tror, att någonting liknande skola vi nog kunna finna litet varstädes, så att nog är denna bestämmelse av behovet påkallad.</w:t>
        <w:br/>
        <w:br/>
        <w:t xml:space="preserve">Det är visserligen sant, att frågan, i den form den nu föreligger, icke har varit föremål för myndigheternas vttrande, utan att vad myndigheterna hörtsröver och lämnat utan anmärkning vore ett förslag, som uteclutande avsåg att reglera förhållandet mellan utländska bolag och svenska </w:t>
      </w:r>
      <w:r>
        <w:rPr>
          <w:b/>
        </w:rPr>
        <w:t>dotterbolag²</w:t>
      </w:r>
      <w:r>
        <w:rPr>
          <w:b w:val="0"/>
        </w:rPr>
        <w:t>. Men då detta förslag lämnats utan anmärkning, så hemställer jag: vilken anmärkning skulle då kunna göras emot en sådan bestämmelse, då den riktas emot ett alldeles analogt fall, fastän den icke avser förhållandet mellan svenska och</w:t>
        <w:br/>
        <w:br/>
        <w:t>utländska företag, utan avser förhållandet mellan svenska företag mom olika kommuner? Jag kan icke finna annat än att den princip, som lämnats utan anmärkning i det ena fallet. också bör vara berättigad i det andra fallet.</w:t>
        <w:br/>
        <w:br/>
        <w:t>Det är av dessa skäl, herr talman, jag yrkar bifall till utskottets hemställan.</w:t>
      </w:r>
    </w:p>
    <w:p>
      <w:pPr>
        <w:pStyle w:val="Heading2"/>
      </w:pPr>
      <w:r>
        <w:t>3. Carl Swartz (–, man)</w:t>
      </w:r>
    </w:p>
    <w:p>
      <w:r>
        <w:rPr>
          <w:b w:val="0"/>
        </w:rPr>
        <w:t>Herr talman! Ja, om det vore så, som den siste ärade talaren har anfört, nämligen att det är alldeles samma sak om det gäller utländska bolugs eller företags beskattning eller sådan beskattning, som är ifrågasatt att utövas över hela linjen, svenska eller utländska företag, skulle jag icke undra mycket över det resultat, vartill Kungl. Maj:t och nu senast utskottet kommit. Men så vitt jag kan se, är det en grunslväsentlig skillnad emellan de båda sakerna. Hela detta förslag är ju baserat på en skrivelse från riksdagen, däri riksdagen b-gärde, just med hänsyn till det förhållandet, att det ofta nog förekom, att utländska företag. vilka helt och hället eller till större delen ägde i Sverige förefintliga företag och över dessa utövade bestämmanderätten, begagnade sig av denna på så sätt, att de läto de svenska företagen mata de utländska till pris, som gjorde, att man här i landet icke fick någon rimlig inkomst att taxera och således icke kunde få nägon skatt av de på svensk hotten bedrivna företagen. Det är helt naturligt, att man önskat tillförsäkra svenska staten skatt av dessa företag. på samma sätt som man vill tillförsäkra staten skatt av andra företag, som driva sin verksamhet inom landet.</w:t>
        <w:br/>
        <w:br/>
        <w:t>Ett förslag i avsikt att råda bot på missförhållanden av nu nämnd beskaffenhet har underställts kammarrätten, som ej haft något i sak att invända mot detsamma och hade Kungl. Majt inskränkt sig till att för riksdagen framlägga ett sadant törslag, kunde det nog funnits stora skäl att reflektera på detsamma. För det förslag, som mu i verkligheten föreligger, torde nog jämväl kunna anföras vissa skäl, men jag befarar duck, att man vid bemödandena att på det sätt. som här föreslås, råda bot på ett förefintligt missförhållande i stället skulle framkalla ett annat och större.</w:t>
        <w:br/>
        <w:br/>
        <w:t>Det nu föreliggande förslaget grundar sig på ett annat — det som nyss omförmäldes, vilket ursprungligen är framställt av landskamreraren Landén och som i övrigt är alldeles detsamma — d. v. s. med vissa redaktionella ändringar, som ju måste anses vara förbättringar — som Kungl. Maj:t och därefter utskottet upptagit och som återfinnas på sid. 18 i utskottsbetänkandet, punkt 3. Men det är den väsentliga skillnaden emellan Kungl. Maj:ts förslag och det Landénska, av kammarrätten tillstyrkta förlaget, att i dt förra står det »Har näringsidkare till någon, som är ekonomiskt intresserad i hans näringsföretag eller kan öva inflytande på företagets ledning, försålt varor till lägre pris o. s. v.&gt; men i det Landéuska förslaget gäller detta om näringsidkare, som »på grund av sina förbindelser med någon, som är ekonomiskt intresserad i hans näringsföretag eller kan öva inflytande på företagets ledning och som icke</w:t>
        <w:br/>
        <w:br/>
        <w:t>företars +. Det står där &gt;och som icke är här i riket skattskyldig för inkomst».</w:t>
        <w:br/>
        <w:br/>
        <w:t>omst i vissa Det är däri som den stora skillnaden ligger. Nu har Kungl. Maj:t</w:t>
        <w:br/>
        <w:br/>
        <w:t>fall. &gt; trott sig om att kunna, bara genom att stryka dessa ord »och icke</w:t>
        <w:br/>
        <w:br/>
        <w:t>melsen sådan den är och göra den tillämplig på rent svenska för-</w:t>
        <w:br/>
        <w:br/>
        <w:t>hållanden av likartad beskaffenhet, d. v. s. mellan rent svenska</w:t>
        <w:br/>
        <w:br/>
        <w:t xml:space="preserve">moderbolag och </w:t>
      </w:r>
      <w:r>
        <w:rPr>
          <w:b/>
        </w:rPr>
        <w:t>dotterbolag²</w:t>
      </w:r>
      <w:r>
        <w:rPr>
          <w:b w:val="0"/>
        </w:rPr>
        <w:t>, om vi för korthetens skull kalla dem</w:t>
        <w:br/>
        <w:br/>
        <w:t>så. Men därvidlag har man icke tänkt på att meningen med det ur-</w:t>
        <w:br/>
        <w:br/>
        <w:t xml:space="preserve">sprungliga förslaget var, att, där icke inkomst av </w:t>
      </w:r>
      <w:r>
        <w:rPr>
          <w:b/>
        </w:rPr>
        <w:t>dotterbolag²</w:t>
      </w:r>
      <w:r>
        <w:rPr>
          <w:b w:val="0"/>
        </w:rPr>
        <w:t xml:space="preserve"> kunde</w:t>
        <w:br/>
        <w:br/>
        <w:t>anses vara normalt beräknad utan vara grundad på i ett eller an-</w:t>
        <w:br/>
        <w:br/>
        <w:t>nat hänseende oriktiga pris man genom att ändra inkomstberäk-</w:t>
        <w:br/>
        <w:br/>
        <w:t xml:space="preserve">ningen skulle få vederbörlig skatt i Sverige av nämnda </w:t>
      </w:r>
      <w:r>
        <w:rPr>
          <w:b/>
        </w:rPr>
        <w:t>dotterbo²</w:t>
      </w:r>
      <w:r>
        <w:rPr>
          <w:b w:val="0"/>
        </w:rPr>
        <w:t>-</w:t>
        <w:br/>
        <w:br/>
        <w:t xml:space="preserve">lag. Huru denna för </w:t>
      </w:r>
      <w:r>
        <w:rPr>
          <w:b/>
        </w:rPr>
        <w:t>dotterbolaget²</w:t>
      </w:r>
      <w:r>
        <w:rPr>
          <w:b w:val="0"/>
        </w:rPr>
        <w:t xml:space="preserve"> ändrare inkomstberäkning se-</w:t>
        <w:br/>
        <w:br/>
        <w:t>dan komme att återverka på det utländska moderbolagets skatte-</w:t>
        <w:br/>
        <w:br/>
        <w:t>förhållanden, var något som man vid fastställandet av den svenska skatteplikten ej hade att taga någon hänsyn till.</w:t>
        <w:br/>
        <w:br/>
        <w:t>Detta spörsmål är för visso en sak, som förtjänar sin stora uppmärksamhet, och som — vilket även reservanterna framhållit — är av synnerlig ömtålig och grannlaga natur, men på den frågan vill jag i detta sammanhang icke närmare ingå. Jag delar emellertid reservanternas uppfattning, att hithörande synpunkter böra noga beaktas och väl också hava av Kungl. Maj:t tagits i övervägande. Och då jag av statsrådsprotokollet i detta ärende inhämtat, att hans excellens herr ministern för utrikes ärendena varit närvarande då den nu till behandling föreliggande proposition beslöts, är jag övertygad om, att denne i allo undersökt, vilken effekt den föreslagna lagstiftningen kan komma att hava på vårt förhållande till utlandet. Det spörsmålet lämnar jag följaktligen helt åsido i detta fall.</w:t>
        <w:br/>
        <w:br/>
        <w:t xml:space="preserve">Men hur ställer sig frågan, om dessa stadganden utan vidare skulle tillämpas på svenska förhållanden? Ja lika litet som vi brytt oss om, när det gällt att bestämma om utländska moderbolag med </w:t>
      </w:r>
      <w:r>
        <w:rPr>
          <w:b/>
        </w:rPr>
        <w:t>dotterbolag²</w:t>
      </w:r>
      <w:r>
        <w:rPr>
          <w:b w:val="0"/>
        </w:rPr>
        <w:t xml:space="preserve"> här i landet, huru moderbolagets vinst skulle beräknas, lika litet finnes här någon antydan om, huru i detta fall moderbolagets vinst skulle beräknas. Det står endast angivet, att om </w:t>
      </w:r>
      <w:r>
        <w:rPr>
          <w:b/>
        </w:rPr>
        <w:t>dotterbolagets²</w:t>
      </w:r>
      <w:r>
        <w:rPr>
          <w:b w:val="0"/>
        </w:rPr>
        <w:t xml:space="preserve"> vinst kan anses vara oriktigt upptagen, skulle man undersöka huru den normala vinsten och den därpå grundade skattskyldigheten skulle hava tett sig därest bolaget varit fullt självständigt. I förbigående sagt, blir detta en mycket kinkig uppgilt för den, som skall söka tramställa den s. k. normala vinsten för </w:t>
      </w:r>
      <w:r>
        <w:rPr>
          <w:b/>
        </w:rPr>
        <w:t>dotterbolaget²</w:t>
      </w:r>
      <w:r>
        <w:rPr>
          <w:b w:val="0"/>
        </w:rPr>
        <w:t xml:space="preserve">. Men därtill kommer, att det icke finnes ett ord om, huru man skall kunna se till, att moderbolaget får åtnjuta avdrag för den ökning i </w:t>
      </w:r>
      <w:r>
        <w:rPr>
          <w:b/>
        </w:rPr>
        <w:t>dotterbolagets²</w:t>
      </w:r>
      <w:r>
        <w:rPr>
          <w:b w:val="0"/>
        </w:rPr>
        <w:t xml:space="preserve"> skattskyldiga vinst som på detta sätt genom denna beräkning åstadkommes. Om den saken finnes icke den minsta antydan. Deh just på grund av att detta mera är en affär mellan de olika kommunerna inbördes än en fråga om statens skatterätt, så lärer icke — då ju ingen uttrycklig bestämmelse i saken finnes — taxeringsmyndigheten i den kommun,</w:t>
        <w:br/>
        <w:br/>
        <w:t xml:space="preserve">där moderbolaget har sin rörelse, bry sig det ringaste om, vilka förändringar, taxeringsmyndigheten i </w:t>
      </w:r>
      <w:r>
        <w:rPr>
          <w:b/>
        </w:rPr>
        <w:t>dotterbolagets²</w:t>
      </w:r>
      <w:r>
        <w:rPr>
          <w:b w:val="0"/>
        </w:rPr>
        <w:t xml:space="preserve"> kommun gjort vid beräkning i skattehänseende av </w:t>
      </w:r>
      <w:r>
        <w:rPr>
          <w:b/>
        </w:rPr>
        <w:t>dotterbolagets²</w:t>
      </w:r>
      <w:r>
        <w:rPr>
          <w:b w:val="0"/>
        </w:rPr>
        <w:t xml:space="preserve"> vinst. Vad blir följden härav? Jo, följden blir den, att moderbolaget får erlägga skatt för den beräknade högre vinsten för </w:t>
      </w:r>
      <w:r>
        <w:rPr>
          <w:b/>
        </w:rPr>
        <w:t>dotterbolaget²</w:t>
      </w:r>
      <w:r>
        <w:rPr>
          <w:b w:val="0"/>
        </w:rPr>
        <w:t xml:space="preserve"> i dettas egen kommun och det får dessutom erlägga skatt för den vinst, som moderbolagets egna räkenskaper i verkligheten utvisa på grund av de försäljningspris efter vilka moderbolaget krediterat sitt </w:t>
      </w:r>
      <w:r>
        <w:rPr>
          <w:b/>
        </w:rPr>
        <w:t>dotterbolag²</w:t>
      </w:r>
      <w:r>
        <w:rPr>
          <w:b w:val="0"/>
        </w:rPr>
        <w:t>, då vinsten härigenom hos moderbolaget blivit så mycket större: för den vinsten, säger jag, får moderbolaget erlägga skatt. Alltså föreligger här en dubbelbeskattning in amplissima forma.</w:t>
        <w:br/>
        <w:br/>
        <w:t>Oaktat jag också av åtskilliga propositioner från finansdepartementet innevarande år tyckt mig finna, att det numera anses som idealet av beskattning, om man kan åstadkomma duhbelbeskattning — ty så förefaller det mig nästan, att döma av åtskilliga motiveringar i avseende å skattepropositioner — så vill jag dock knappast hålla för troligt, att finansministern tänkt sig möligheten att kunna utsträcka detta ideal så långt, att han verkligen velat i detta fall bestämt säga på detta sätt: vi skola beskatta denna vinst två gånger om, ena gången i form av den beräknade inkomsten hos ett bolag och andra gången såsom den verkliga inkomsten hos ett annat bolag.</w:t>
        <w:br/>
        <w:br/>
        <w:t xml:space="preserve">Jag har så mycket tydligare för mig, att så icke kunnat vara meningen som man på sid. 27 i propositionen kan se, huru finansministern resonerar. Han yttrar nämligen där: &gt;»Genom ifrågavarande förslag införes emellertid i viss mån en dubbelbeskattning, i det att den skattskyldige, vilken förslaget närmast angår» — lat oss här säga </w:t>
      </w:r>
      <w:r>
        <w:rPr>
          <w:b/>
        </w:rPr>
        <w:t>dotterbolaget²</w:t>
      </w:r>
      <w:r>
        <w:rPr>
          <w:b w:val="0"/>
        </w:rPr>
        <w:t xml:space="preserve"> — får betala skatt för hela den inkomst som han kunnat få av sin rörelse, därest någon åtgärd av här avsedd art icke vidtagits; — d. v. s. om moderbolaget icke tvungit </w:t>
      </w:r>
      <w:r>
        <w:rPr>
          <w:b/>
        </w:rPr>
        <w:t>dotterbolaget²</w:t>
      </w:r>
      <w:r>
        <w:rPr>
          <w:b w:val="0"/>
        </w:rPr>
        <w:t xml:space="preserve"> att sälja till så billigt pris — »under det att den, vilken blivit gynnad av berörda åtgärd — här moderbolaget — &gt;enligt allmänna regler beskattas för därav föranledd inkomstökning?.</w:t>
        <w:br/>
        <w:br/>
        <w:t>Saledes anser finansministern, att denna följd av bestämmelserna kan komma att inträffa, och en sådan utgång önskar han icke. Men vilket sätt finner han väl på för att skydda sig emot denna eventuulitet? Jo, fortsättes det uti nämnda anförande: &gt;Det synes mig därför riktigast, att den föreslagna bestämmelsen ej göres tillämplig beträffande den inkomst, som åtnjutes innevarande år och vilken torde vara reglerad av redan ingångna avtal, utan lärer stadgandet böra gälla allenast den inkomst, som åtnjutes från och med 1919 års ingang&gt;. Finansministern utfinner följaktligen icke något annat korrektiv i detta avseende än en omläggning av beräkningarna vederbörande, d. v. s. här bolagen, emellan. Han vill giva dem tid att lägga om bokföringen och att lägga om avtalen och han antager, att på det sättet slipper man dubbelbeskattningen, under förutsättning, att några avtal, som räcka längre än till 1918, icke kunna ifrågakomma, utan att man kan ändra allt detta. Icke</w:t>
        <w:br/>
        <w:br/>
        <w:t>varom jag här har talat.</w:t>
        <w:br/>
        <w:br/>
        <w:t>Jag vill med detta hava sagt, att det går icke utan vidare an att påstå, att denna fråga skulle gälla alldeles detsamma, som frå gan om utlänningars beskattning under Jäm förliga förhållanden innebär. Snarare för detta spörsmal med sig verkningar av helt annan beskaffenhet. Det är i allmänhet så med dessa skattefrågor, att de gripa in så ofantligt djupt i varandra. Man måste vara ytterst hemmastadd i dessa stycken — många gånger mera hemmuastadd än jag är, ty jag är icke vidare förfaren i den vägen, även om jag kommit att något litet syssla med dessa frågor — för att här kunna komma till ett riktigt resultat. Jag har under detta sysslande kommit underfund med, att man måste söka noga penetrera dessa spörsmål och skaffa sig all möjlig insikt däri och hjälp från sakkunnigt båll för att rätt kunna bedöma dem. Detta synes mig icke hava skett i föreliggande fall. Jag måste följaktligen anse, att den nu föreslagna reformen icke är tillräckligt förberedd. Och det finnes icke tillräcklig sakkunskap vare sig inom finansdepartementet ensamt — lika litet nu som det funnits någon gång förut — eller inom bevillningsutskottet ensamt, för att man skulle kunna bygga uteslutande på dessa båda instanser, om Jag så får säga. Det behövs ovillkorligen den kritiska skärpa och den överblick över dessa problem och sammanhanget mellan frågorna på detta område, som icke står att finna annat än i det ämbetsverk, vilket just har till uppdrag att bereda och undersöka sådana frågor som denna. Jag kan därför icke finna det annat än högst betänkligt, att man utan vidare ansett detta förslag vara tillräckligt berett genom ett uttalande från finansdepartementets sida. att ett stadgande, som rör utländska förhållanden, helt enkelt är Jämförligt med det här föreslagna. Man överför det förra på svenska förhållanden — man stryker helt enkelt ordet utlänningar» — och så är det bra med allt detta, och man bryr sig icke alls om kammarrätten, utan man tror, att det härmed är väl beställt. Nej, det är icke väl beställt. Det går icke för sig att taga på skattefrågor på det sättet. Jag anser mig skyldig att med kratt framhålla detta, därför att det verk. ligen icke är enda gången under denna riksdag som propositioner i</w:t>
        <w:br/>
        <w:br/>
        <w:t>sådana frågor från finansdepartementet visa ett åsidosättande av den sakkunskap och den kritiska granskningsförmaga, vilken finnes hos kammarrätten, och som ingen kan undvara. Man kan visserligen få igenom sina förslag i alla fall, för all del. Men det beror sannerligen ofta nog icke på sakkunskap, om förslagen gå igenom, utan det är helt andra faktorer, som där inverka, och de kunna ju i alla händelser finnas. Det kan ju också vara ganska nöjsamt, om man får igenom ett förslag särskilt i det ögonblick då det sker. Men när sedermera konsekvenserna visa sig och göra sig gällande icke blott i riksdagen utan i hela landet och dess näringsliv, då tror jag, att man skulle ha funnit sig mycket bättre, därest man, innan man framlade förslaget, sökt penetrera det så mycket som möjligt. Detta kan emellertid icke ske, därest man åsidosätter den förberedande myndighetens granskning.</w:t>
        <w:br/>
        <w:br/>
        <w:t>Jag vill därvidlag peka på vad som förekommit i den förra punkten. Från departementschefens sida säges där helt enkelt ifrån — det gäller här dessa uppgifter om skattskyldiges ränteinkomst — såsom herrarna minnas — att kammarrätten yttrat, att denna sak behöver noga undersökas, emedan den övar sin inverkan på så många håll, och man får därför lov att noga utreda detta spörsmål, innan min kan avgöra, huruvida det gagnar eller ej. Kammarrätten har icke yttrat, att den är övertygad om gagnet av denna författningsändring. Den har yttrat, att ändringen möjligen kan komma att gagna, men tillagt, att det behöves en utredning; och det är skillnad på dessa två saker. Om kammarrättens yttrande i den vägen säger emellertid statsrådet: &gt;»Då med en sådan begränsning&gt; — det var den begränsningen, som statsrådet gjort i det förslag, som förelåg vid två föregående tillfällen i riksdagen, och som vid ena tillfäliet åtminstone vann andra kammarens bifall men hårda gångerna avslogs av första kammaren — »det ifrågasatta stadgandet i princip icke torde avsevärt skilja sig från det förslag, som bevillningsutskottet två gånger framlagt för riksdagen, lärer kammarrättens yttrande om behovet av vidare utredning icke böra föranleda frågans uppskjutande. Men vad är det då för slags utredning, som skett i det avseendet, och som gör kammarrättens utredning överflödig? Jo i båda fallen enskilda motionärers uppgitter och vidare bevillningsutskottets arbete.</w:t>
        <w:br/>
        <w:br/>
        <w:t>Jag måste säga, att detta är ett yttrande. som hekymrar mig på det allra högsta, därest det verkligen skull» vara så, att herr finansministern anser, att utredningar i sådana frågor som denna kunna bliva tillräckligt djupgående, för den händelse frågan väckes av enskild meotionär och därefter behandlas i bevillningsutskottet. Men — och detta måste man ju säga med all aktning för utskottet — detta kan icke under den korta tid, som står till buds och med den arbetskraft varöver det förfogar, penetrera frågorna så som nödvändigt är, och på det sätt att det kan bli metod och sammanhang i skattelagstittningen. Det är svårt ändå att ernå en sådan metod och sådant sammauhang, men man bör dock sträva efter detta så mycket som möjligt. Jag kan icke se annat än att det är syn-</w:t>
        <w:br/>
        <w:br/>
        <w:t>Om beräkning nerligen farligt, om man på detta sätt ger sig in på att antaga</w:t>
        <w:br/>
        <w:br/>
        <w:t>skattetörslag, som icke hava undergått den prövning, alla förslag böra enligt grundlagen undergå, innan de framläggas för riksdagen, en prövning, som förslag på detta område sannerligen icke minst äro 1 behov av.</w:t>
        <w:br/>
        <w:br/>
        <w:t>Redan av denna anledning och på grund av vad jag i övrigt anfört ber jag, herr talman, att få yrka avslag såväl på Kungl. Maj:ts som på utskottets förslag.</w:t>
      </w:r>
    </w:p>
    <w:p>
      <w:pPr>
        <w:pStyle w:val="Heading2"/>
      </w:pPr>
      <w:r>
        <w:t>4. Fredrik Vilhelm Thorsson (Socialdemokraterna, man)</w:t>
      </w:r>
    </w:p>
    <w:p>
      <w:r>
        <w:rPr>
          <w:b w:val="0"/>
        </w:rPr>
        <w:t>Herr greve och talman! Den siste ärade talaren gjorde mycket skarpa anmärkningar mot att nu föreliggande förslag icke undergått den förberedande behandling, som det enligt hans uppfattning bort undergå, innan det framlades för riksdagens prövning.</w:t>
        <w:br/>
        <w:br/>
        <w:t xml:space="preserve">Jag hyser den allra största respekt för den ärade talarens insikt i frågor av sådan art som de nu föreliggande. Och jag erkänner samtidigt, att jag icke på långt när sitter inne med motsvarande erfarenhet på hitbörande område. Men när den värderade talaren gör dessa anmärkningar, och påstår, att detta ärende icke erhållit erforderlig förberedelse, emedan man skulle ha förbigått de prövande myndigheterna, innan ärendet framlades på riksdagens bord, så vill jag säga, att den skillnad som råder mellan föreliggande förslag och det förslag som varit föremål för myndigheternas prövning, den skillnaden, är väl ändå icke av den ingående beskaffenhet, att den berättigar till en sådan förkastelsedom av det föreliggande förslaget, som den ärade talaren uttalade. Det synes mig vara riktigt, att samma lagstiftning, som vi på hithörande område vilja åstadkomma för främmande medborgare, måste vi också tillämpa för våra egna. Avsikten med det föreliggande förslaget, har varit, att förhindra vederbörande från att genom rena bokföringsåtgärder undandraga vare sig kommun eller stat de skatteprestanda, vilka man anser, att vederbörande böra vara skyldiga att erlägga. Skillnaden mellan det förelag, som nu föreligger till riksdagens prövning och det förslag varom kammarrätten yttrat sig består däri att man i detta fall även velat förhindra inhemska sammanslutningar att bilda </w:t>
      </w:r>
      <w:r>
        <w:rPr>
          <w:b/>
        </w:rPr>
        <w:t>dotterbolag²</w:t>
      </w:r>
      <w:r>
        <w:rPr>
          <w:b w:val="0"/>
        </w:rPr>
        <w:t>, vidtaga åtgärder i syfte att undandraga det allmänna den skattetribut, dessa sammanslutningar äro skyldiga det allmänna.</w:t>
        <w:br/>
        <w:br/>
        <w:t>Herr Swartz tycktes finna, att jag med alldeles särskild förtjusning lade fram förslag, ägnade att åstadkomma dubbelbeskattning. I den delen får jag emellertid bestämt säga ifrån, att det icke, i detta fall varit min avsikt att åstadkomma något sådant. Jag har i stället sökt sträva efter, att få en så rättvis beskattning som möjligt. Och i det fall som den högt värderade talaren antydde, att dubbelbeskattning skulle äga rum, har jag ansett det fullständigt riktigt, att man på i prop. nr 395 angivet sätt sökte hindra, att bolag begagnade sig av där angivet sätt att fondera och sedan utdela medel och undandraga de fonderade medlen beskattning. Det har icke varit någon strävan att komma åt bolagen ge-</w:t>
        <w:br/>
        <w:br/>
        <w:t>Herr Swartz anmärkte på att den i förslaget angivna övergångstiden är för knappt tilltagen, varigenom sådana bolag som slutit leveransavtal, icke skulle hinna ordna för sig på ett sådant sätt att de undgingo den av honom påstådda dubbelbeskattningen. Jag vill med anledning härav betona, att denna övergångstid, dock räcker ända fram till 1921, med god vilja kunna nog vederbörande</w:t>
        <w:br/>
        <w:br/>
        <w:t>å angiven tid hinna överenskomma om sina mellanhavanden. I de all. där icke den ena parten står i en viss intim relation till den andra, kan det ju strängt taget enligt vanliga affärsbegrepp icke ifrågasättas att varorna avyttras till sådant pris, att de avtalsslutande särskilt beröras av den nu ifrågasatta lagstiftningen. 1 de fall, där avtal slutes i syfte, att på ena eller andra sättet undandraga det allmänna dess behöriga andel i skatt, råder säkerligen ett sådant förhållande mellan de avtalsslutande parterna att ingen verklig svårighet bör hindra dem från att i god tid vidtaga hehövliga avtalsändringar. Om detta förslag icke fyler måttet enligt den uppfattning, som företrädes särskilt av den siste ärade talaren, blir det väl ingenting annat att göra än att omarbeta detsamma och komma till riksdagen med ett förslag, där man täppt till de luckor, som tilläventyrs kunna finnas i det nu föreliggande, så att man får fram den tanke som erkänts ligga i förslaget och som hör tillvaratagas.</w:t>
        <w:br/>
        <w:br/>
        <w:t>Jag skall icke längre upptaga kammarens tid, men jag har velat betona, att det icke varit någon benägenhet att få, såsom man säger, klämma efter med skatteskruven, som utgjort anledningen till detta lagförslags framläggande.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