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325</w:t>
      </w:r>
    </w:p>
    <w:p>
      <w:r>
        <w:rPr>
          <w:b/>
        </w:rPr>
        <w:t xml:space="preserve">Datum: </w:t>
      </w:r>
      <w:r>
        <w:t>1919-03-12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Antonsson (Liberala samlingspartiet, man)</w:t>
      </w:r>
    </w:p>
    <w:p>
      <w:r>
        <w:rPr>
          <w:b w:val="0"/>
        </w:rPr>
        <w:t xml:space="preserve">Herr greve och talman, mina herrar! En föregående ärad talare sade, att herr Boman stod ensam om sin reservation. Ja, det är riktigt så till vida, att han har en särskild motivering för sitt yrkande om avslag. Men dessutom finnes vid detta utskottsbetänkande fogat en reservation av mig och några andra ledamöter av bevillningsutskottet, som går ut på samma yrkande. Att nu söka genomdriva införande av lokalt eller kommunalt veto, som den föregående talaren kallade det — benämningen må nu vara hur som helst det är dock ungefär samma sak — kan ju icke anses vara av behovet påkallat, sedan den kommunala rösträttsreformen under urtima riksdagen blivit genomförd. Man anförde tidigare såsom skäl för det lokala vetot, att den kommunala röstskalan var olämplig, när det gällde att bestämma, huruvida rusdrycker skulle få förekomma till servering eller utminutering inom en kommun eller icke, och dessutom att </w:t>
      </w:r>
      <w:r>
        <w:rPr>
          <w:b/>
        </w:rPr>
        <w:t>kvinnorna¹</w:t>
      </w:r>
      <w:r>
        <w:rPr>
          <w:b w:val="0"/>
        </w:rPr>
        <w:t xml:space="preserve"> icke voro berättigade att deltaga i en sådan omröstning. Nu är som sagt förhållandena ändrade, ingen graderad skala finnes numera, män och </w:t>
      </w:r>
      <w:r>
        <w:rPr>
          <w:b/>
        </w:rPr>
        <w:t>kvinnor¹</w:t>
      </w:r>
      <w:r>
        <w:rPr>
          <w:b w:val="0"/>
        </w:rPr>
        <w:t xml:space="preserve"> äro lika berättigade att deltaga i valen till kommunala förtroendeposter. Det torde då förefalla alldeles naturligt, att man icke bör införa någon ny institution för folkomröstning, som i och för sig själv är besvärlig och skulle för de större städerna bliva synnerligen betungande. Det skäl, som framförts, att man genom ett sådant förfarande som här föreslås skulle undgå att vid val till kommunala myndigheter behöva taga hänsyn till nykterhetsfrågan, är icke hållbart, till följd därav att tillstånd till rusdrycksförsäljning. gäller endast tre år, men de kommunala valen gälla för fyra år. alternerande val vartannat år. Då man icke vid varje särskilt valtillfälle vet, hur det skall gå vid omröstning rörande spriträttigheter, passa naturligtvis nykterhetsvännerna på, då det gäller val till stadsfullmäktige och kommunalfullmäktige, att söka efter förmåga få in personer, som verka i den riktning, som de anse önskvärd. Dessutom förekomma i kommunerna fall, då det är fråga om att bevilja tillfälliga spriträttigheter, och då kan man naturligivis icke anställa omröstning bland kommunens alla medlemmar, utan därom få vederbörande kommunalfullmäktige eller stadsfullmäktige besluta.</w:t>
        <w:br/>
        <w:br/>
        <w:t>Såvitt jag kan förstå, finnes det ingen anledning att nu vidtaga ändringar i förevarande hänseende, och därför ber jag att få yrka avslag å utskottets förslag och bifall till min m. fl. reservation.</w:t>
      </w:r>
    </w:p>
    <w:p>
      <w:pPr>
        <w:pStyle w:val="Heading2"/>
      </w:pPr>
      <w:r>
        <w:t>2. unknown (–, –)</w:t>
      </w:r>
    </w:p>
    <w:p>
      <w:r>
        <w:rPr>
          <w:b w:val="0"/>
        </w:rPr>
        <w:t>Herr greve och talman, mina herrar! Jag begärde ordet endast för att ytterligare understryka, att det i detta ärende icke är fråga om en nykterhetssynpunkt, utan om den rent kommunala synpunkten, att man vid val av de kommunala representationerna slippa en fråga, som visat sig verka i hög grad splittrande inom de</w:t>
        <w:br/>
        <w:br/>
        <w:t xml:space="preserve">nuvarande partiorganisationerna och som därför länder det kommunala arbeatet till skada. Det betonas alldeles uttryckligt i betänkandet, att det alldeles icke förhåller sig så, som herr Boman ansåg. Han framböll, att den verkliga folkstämningen, tack vare rösträtiens omläggning, nu kan finna fullt uttryck även i nykterhetsfrågor, men det är även utskottet fullt medvetet om. Det skriver: »Enligt utskottets mening föreligger nämligen icke anledning att befara, att den verkliga folkmeningen inom kommunerna i de frågor, det här gäller, icke skulle komma till uttryck genom de representativa organens beslut.» Enligt min mening har från nykterhetssynpunkt kravet på lokalt veto helt och hållet bortfallit, i och med det att lika rösträtt genomförts för alla män och </w:t>
      </w:r>
      <w:r>
        <w:rPr>
          <w:b/>
        </w:rPr>
        <w:t>kvinnor¹</w:t>
      </w:r>
      <w:r>
        <w:rPr>
          <w:b w:val="0"/>
        </w:rPr>
        <w:t>. Sålunda, den saken kan helt avföras ur debatten. Det gäller nu endast den synpunkt, som utskottet gjort till sin, nämligen den, som jag nyss har anfört, att man icke bör i onödan bibehålla i de kommunala valstriderna ett tvisteämne. En sådan fråga som denna kan, oberoend2 av partilinjer, avgöras i princip lika bra genom det omröstningsförfarande, angående vilket utskottet har begärt Kungl. Maj:ts utredning. J ag ber därför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