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351</w:t>
      </w:r>
    </w:p>
    <w:p>
      <w:r>
        <w:rPr>
          <w:b/>
        </w:rPr>
        <w:t xml:space="preserve">Datum: </w:t>
      </w:r>
      <w:r>
        <w:t>1920-02-18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Rosen (Frisinnade folkpartiet, man)</w:t>
      </w:r>
    </w:p>
    <w:p>
      <w:r>
        <w:rPr>
          <w:b w:val="0"/>
        </w:rPr>
        <w:t>Herr talman! Enligt propositionen skulle annan skattskyldig än den, som har minderåriga barn att försörja, kunna erhålla avdrag, om han har en inkomst upp till 3,000 kronor. På grund av en motion i andra kammaren har utskottet föreslagit, att man skulle härtill lägga en ny grupp, nämligen skattskyldiga som hava mellan 3,000 och 4,000 kronors inkomst, och att sådana skattskyldiga skulle få ett avdrag av högst 5 2.</w:t>
        <w:br/>
        <w:br/>
        <w:t xml:space="preserve">Om detta utskottets förslag bifalles, så kan det inträffa, för att taga ett exempel, att en person med 3,999 kronors inkomst, som icke har mer än sig själv att försörja, kan få avdrag med 5 Z, medan en person, som har blott 3,500 kronors inkomst och har </w:t>
      </w:r>
      <w:r>
        <w:rPr>
          <w:b/>
        </w:rPr>
        <w:t>hustru²</w:t>
      </w:r>
      <w:r>
        <w:rPr>
          <w:b w:val="0"/>
        </w:rPr>
        <w:t xml:space="preserve"> och ett barn, icke kan få större avdrag.</w:t>
        <w:br/>
        <w:br/>
        <w:t>Jag anser, att det är fullkomligt orimligt, att en ogift person, som har större inkomst än en familjeförsörjare, dock skall kunna få samma avdrag som denne. Jag har den uppfattningen, att inom ifrågavarande inkomstgrupp finns ett mycket stort antal personer, som icke äro i behov av något avdrag, och på grund därav har jag ansett, att Kungl. Maj:ts proposition bort av utskottet tillstyrkas.</w:t>
        <w:br/>
        <w:br/>
        <w:t>Jag ber nu, herr talman, att få yrka avslag på utskottets hemställan och bifall till Kungl. Maj:ts förslag oförändrat.</w:t>
      </w:r>
    </w:p>
    <w:p>
      <w:pPr>
        <w:pStyle w:val="Heading2"/>
      </w:pPr>
      <w:r>
        <w:t>2. Gustaf Nilsson (Bondeförbundet, man)</w:t>
      </w:r>
    </w:p>
    <w:p>
      <w:r>
        <w:rPr>
          <w:b w:val="0"/>
        </w:rPr>
        <w:t>Det skäl, som föranlett utskottsmajoriteten att gå med på denna ändring i den Kungl. propositionen, är 1 främsta rummet det, att sedan man beslutat att flytta upp gränsen för avdrag i 2 $ till 4,000 kronor, ansåg man sig böra även flytta gränsen för dessa fall till 4,000. kronor. Jag vill erinra om att det avdrag, som här kan komma i fråga för gifta makar, över huvud taget är så ringa, att man icke har någon stor anledning att sätta sig emot det.</w:t>
        <w:br/>
        <w:br/>
        <w:t xml:space="preserve">Till herr Rosén vill jag särskilt säga, att det här icke blir mer för högsta gruppen än ett avdrag av 5 4, d. v. s. en person, som har </w:t>
      </w:r>
      <w:r>
        <w:rPr>
          <w:b/>
        </w:rPr>
        <w:t>hustru²</w:t>
      </w:r>
      <w:r>
        <w:rPr>
          <w:b w:val="0"/>
        </w:rPr>
        <w:t xml:space="preserve"> att försörja, som kanske lever av en pension eller någon mindre förtjänst och bor i en stor stad med förhållanden sådana som i Stockbolm, Göteborg eller Malmö, han kan med en inkomst av t. ex. 3,600 kronor för sig och sin </w:t>
      </w:r>
      <w:r>
        <w:rPr>
          <w:b/>
        </w:rPr>
        <w:t>hustru²</w:t>
      </w:r>
      <w:r>
        <w:rPr>
          <w:b w:val="0"/>
        </w:rPr>
        <w:t xml:space="preserve"> erhålla ett avdrag i kommunalt skatteavseende på 5 2. Det blir på sin höjd 10 å 15 kronor, och det är icke någon stor summa att så mycket hänga upp sig på. Det kan nu invändas, som herr Rosén också gjorde, att t. ex. den, som har </w:t>
      </w:r>
      <w:r>
        <w:rPr>
          <w:b/>
        </w:rPr>
        <w:t>hustru²</w:t>
      </w:r>
      <w:r>
        <w:rPr>
          <w:b w:val="0"/>
        </w:rPr>
        <w:t xml:space="preserve"> att försörja och därtill minderåriga barn icke får större avdrag än en ogift med till och med något större inkomst, men man kan å andra sidan säga, att i regel dessa till hög ålder komna personer, som på ålderns dagar hava en pension av ett med hänsyn till nuvarande penningvärde så litet belopp som mellan 3,000 och 4,000 kronor och äro brutna av sjukdom eller i varje fall icke äro så rörliga som i unga dar, också hava anledning att göra anspråk på det skatteavdrag, som enligt denna paragraf kan beviljas.</w:t>
        <w:br/>
        <w:br/>
        <w:t>Då jag således icke kan finna annat än att det är både rättvist och billigt, då det belopp det här gäller är jämförelsevis obetydligt, och då de olägenheter, som skulle kunna uppstå, visst icke äro så</w:t>
        <w:br/>
        <w:br/>
        <w:t>upprörande, som reservanten gjort gällande, ber jag,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